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94" w:rsidRPr="0023714A" w:rsidRDefault="00B33894" w:rsidP="00B33894">
      <w:pPr>
        <w:pStyle w:val="ConsPlusNonformat"/>
        <w:jc w:val="center"/>
        <w:rPr>
          <w:rFonts w:ascii="Times New Roman" w:hAnsi="Times New Roman" w:cs="Times New Roman"/>
          <w:b/>
        </w:rPr>
      </w:pPr>
      <w:r w:rsidRPr="0023714A">
        <w:rPr>
          <w:rFonts w:ascii="Times New Roman" w:hAnsi="Times New Roman" w:cs="Times New Roman"/>
          <w:b/>
        </w:rPr>
        <w:t>3 Н    ПАСПОРТ УСЛУГИ (ПРОЦЕССА) СЕТЕВОЙ ОРГАНИЗАЦИИ</w:t>
      </w:r>
    </w:p>
    <w:p w:rsidR="00B33894" w:rsidRPr="0023714A" w:rsidRDefault="00B33894" w:rsidP="00B33894">
      <w:pPr>
        <w:autoSpaceDE w:val="0"/>
        <w:autoSpaceDN w:val="0"/>
        <w:adjustRightInd w:val="0"/>
        <w:spacing w:after="0" w:line="240" w:lineRule="auto"/>
        <w:ind w:firstLine="540"/>
        <w:jc w:val="center"/>
        <w:rPr>
          <w:rFonts w:ascii="Times New Roman" w:hAnsi="Times New Roman" w:cs="Times New Roman"/>
          <w:b/>
          <w:sz w:val="20"/>
          <w:szCs w:val="20"/>
          <w:u w:val="single"/>
        </w:rPr>
      </w:pPr>
      <w:r w:rsidRPr="0023714A">
        <w:rPr>
          <w:rFonts w:ascii="Times New Roman" w:hAnsi="Times New Roman" w:cs="Times New Roman"/>
          <w:b/>
          <w:sz w:val="20"/>
          <w:szCs w:val="20"/>
          <w:u w:val="single"/>
        </w:rPr>
        <w:t xml:space="preserve">контроль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потребителя                    </w:t>
      </w:r>
    </w:p>
    <w:p w:rsidR="00B33894" w:rsidRPr="0023714A" w:rsidRDefault="00B33894" w:rsidP="00B33894">
      <w:pPr>
        <w:pStyle w:val="ConsPlusNonformat"/>
        <w:jc w:val="center"/>
        <w:rPr>
          <w:rFonts w:ascii="Times New Roman" w:hAnsi="Times New Roman" w:cs="Times New Roman"/>
        </w:rPr>
      </w:pPr>
      <w:r w:rsidRPr="0023714A">
        <w:rPr>
          <w:rFonts w:ascii="Times New Roman" w:hAnsi="Times New Roman" w:cs="Times New Roman"/>
        </w:rPr>
        <w:t>наименование услуги (процесса)</w:t>
      </w:r>
    </w:p>
    <w:p w:rsidR="00B33894" w:rsidRPr="0023714A" w:rsidRDefault="00B33894" w:rsidP="00B33894">
      <w:pPr>
        <w:pStyle w:val="ConsPlusNonformat"/>
        <w:jc w:val="both"/>
        <w:outlineLvl w:val="0"/>
        <w:rPr>
          <w:rFonts w:ascii="Times New Roman" w:hAnsi="Times New Roman" w:cs="Times New Roman"/>
        </w:rPr>
      </w:pPr>
    </w:p>
    <w:p w:rsidR="00B33894" w:rsidRPr="0023714A" w:rsidRDefault="00B33894" w:rsidP="00B33894">
      <w:pPr>
        <w:spacing w:after="0"/>
        <w:rPr>
          <w:rFonts w:ascii="Times New Roman" w:hAnsi="Times New Roman" w:cs="Times New Roman"/>
          <w:sz w:val="20"/>
          <w:szCs w:val="20"/>
        </w:rPr>
      </w:pPr>
      <w:r w:rsidRPr="0023714A">
        <w:rPr>
          <w:rFonts w:ascii="Times New Roman" w:hAnsi="Times New Roman" w:cs="Times New Roman"/>
          <w:b/>
          <w:sz w:val="20"/>
          <w:szCs w:val="20"/>
        </w:rPr>
        <w:t>Круг заявителей:</w:t>
      </w:r>
      <w:r w:rsidRPr="0023714A">
        <w:rPr>
          <w:rFonts w:ascii="Times New Roman" w:hAnsi="Times New Roman" w:cs="Times New Roman"/>
          <w:sz w:val="20"/>
          <w:szCs w:val="20"/>
        </w:rPr>
        <w:t xml:space="preserve"> юридические лица и индивидуальные предприниматели с присоединенной максимальной мощностью </w:t>
      </w:r>
      <w:r w:rsidR="00190096">
        <w:rPr>
          <w:rFonts w:ascii="Times New Roman" w:hAnsi="Times New Roman" w:cs="Times New Roman"/>
          <w:sz w:val="20"/>
          <w:szCs w:val="20"/>
        </w:rPr>
        <w:t xml:space="preserve">энергопринимающих устройств не менее 670 кВт </w:t>
      </w:r>
    </w:p>
    <w:p w:rsidR="00B33894" w:rsidRPr="0023714A" w:rsidRDefault="00B33894" w:rsidP="00B33894">
      <w:pPr>
        <w:spacing w:after="0"/>
        <w:rPr>
          <w:rFonts w:ascii="Times New Roman" w:hAnsi="Times New Roman" w:cs="Times New Roman"/>
          <w:sz w:val="20"/>
          <w:szCs w:val="20"/>
        </w:rPr>
      </w:pPr>
      <w:r w:rsidRPr="0023714A">
        <w:rPr>
          <w:rFonts w:ascii="Times New Roman" w:hAnsi="Times New Roman" w:cs="Times New Roman"/>
          <w:b/>
          <w:sz w:val="20"/>
          <w:szCs w:val="20"/>
        </w:rPr>
        <w:t>Размер платы за предоставленные услуги (процесса) и основание ее взимания:</w:t>
      </w:r>
      <w:r w:rsidRPr="0023714A">
        <w:rPr>
          <w:rFonts w:ascii="Times New Roman" w:hAnsi="Times New Roman" w:cs="Times New Roman"/>
          <w:sz w:val="20"/>
          <w:szCs w:val="20"/>
        </w:rPr>
        <w:t xml:space="preserve"> бесплатно.</w:t>
      </w:r>
    </w:p>
    <w:p w:rsidR="00B33894" w:rsidRPr="0023714A" w:rsidRDefault="00B33894" w:rsidP="00B33894">
      <w:pPr>
        <w:spacing w:after="0"/>
        <w:rPr>
          <w:rFonts w:ascii="Times New Roman" w:hAnsi="Times New Roman" w:cs="Times New Roman"/>
          <w:sz w:val="20"/>
          <w:szCs w:val="20"/>
        </w:rPr>
      </w:pPr>
      <w:r w:rsidRPr="0023714A">
        <w:rPr>
          <w:rFonts w:ascii="Times New Roman" w:hAnsi="Times New Roman" w:cs="Times New Roman"/>
          <w:b/>
          <w:sz w:val="20"/>
          <w:szCs w:val="20"/>
        </w:rPr>
        <w:t>Условия оказания услуги (процесса):</w:t>
      </w:r>
      <w:r w:rsidRPr="0023714A">
        <w:rPr>
          <w:rFonts w:ascii="Times New Roman" w:hAnsi="Times New Roman" w:cs="Times New Roman"/>
          <w:sz w:val="20"/>
          <w:szCs w:val="20"/>
        </w:rPr>
        <w:t xml:space="preserve"> наличие технологического присоединения к сетям МП «Горэлектросеть» МО «Няндомское», заключенного акта разграничения балансовой принадлежности электросетей, договора электроснабжения</w:t>
      </w:r>
      <w:r w:rsidR="00190096">
        <w:rPr>
          <w:rFonts w:ascii="Times New Roman" w:hAnsi="Times New Roman" w:cs="Times New Roman"/>
          <w:sz w:val="20"/>
          <w:szCs w:val="20"/>
        </w:rPr>
        <w:t xml:space="preserve"> или купли-продажи электроэнергии </w:t>
      </w:r>
      <w:r w:rsidRPr="0023714A">
        <w:rPr>
          <w:rFonts w:ascii="Times New Roman" w:hAnsi="Times New Roman" w:cs="Times New Roman"/>
          <w:sz w:val="20"/>
          <w:szCs w:val="20"/>
        </w:rPr>
        <w:t xml:space="preserve"> с</w:t>
      </w:r>
      <w:r w:rsidR="00190096">
        <w:rPr>
          <w:rFonts w:ascii="Times New Roman" w:hAnsi="Times New Roman" w:cs="Times New Roman"/>
          <w:sz w:val="20"/>
          <w:szCs w:val="20"/>
        </w:rPr>
        <w:t xml:space="preserve"> ресурсоснабжающей организацией или договора оказания услуг по передаче электрической энергии с МП «Горэлектросеть» МО «Няндомское» </w:t>
      </w:r>
    </w:p>
    <w:p w:rsidR="00B33894" w:rsidRPr="0023714A" w:rsidRDefault="00B33894" w:rsidP="00B33894">
      <w:pPr>
        <w:spacing w:after="0"/>
        <w:rPr>
          <w:rFonts w:ascii="Times New Roman" w:hAnsi="Times New Roman" w:cs="Times New Roman"/>
          <w:sz w:val="20"/>
          <w:szCs w:val="20"/>
        </w:rPr>
      </w:pPr>
      <w:r w:rsidRPr="0023714A">
        <w:rPr>
          <w:rFonts w:ascii="Times New Roman" w:hAnsi="Times New Roman" w:cs="Times New Roman"/>
          <w:b/>
          <w:sz w:val="20"/>
          <w:szCs w:val="20"/>
        </w:rPr>
        <w:t>Результат оказания услуги (процесса):</w:t>
      </w:r>
      <w:r w:rsidRPr="0023714A">
        <w:rPr>
          <w:rFonts w:ascii="Times New Roman" w:hAnsi="Times New Roman" w:cs="Times New Roman"/>
          <w:sz w:val="20"/>
          <w:szCs w:val="20"/>
        </w:rPr>
        <w:t xml:space="preserve"> Выдача протокола с результатами измерений и заключением о соответствии (несоответствии) техническим регламентам и иным обязательным требованиям.</w:t>
      </w:r>
    </w:p>
    <w:p w:rsidR="00B33894" w:rsidRPr="0023714A" w:rsidRDefault="00B33894" w:rsidP="00B33894">
      <w:pPr>
        <w:spacing w:after="0"/>
        <w:rPr>
          <w:rFonts w:ascii="Times New Roman" w:hAnsi="Times New Roman" w:cs="Times New Roman"/>
          <w:sz w:val="20"/>
          <w:szCs w:val="20"/>
        </w:rPr>
      </w:pPr>
      <w:r w:rsidRPr="0023714A">
        <w:rPr>
          <w:rFonts w:ascii="Times New Roman" w:hAnsi="Times New Roman" w:cs="Times New Roman"/>
          <w:b/>
          <w:sz w:val="20"/>
          <w:szCs w:val="20"/>
        </w:rPr>
        <w:t>Общий срок оказания услуги (процесса):</w:t>
      </w:r>
      <w:r w:rsidRPr="0023714A">
        <w:rPr>
          <w:rFonts w:ascii="Times New Roman" w:hAnsi="Times New Roman" w:cs="Times New Roman"/>
          <w:sz w:val="20"/>
          <w:szCs w:val="20"/>
        </w:rPr>
        <w:t xml:space="preserve"> </w:t>
      </w:r>
      <w:r w:rsidR="007603E7">
        <w:rPr>
          <w:rFonts w:ascii="Times New Roman" w:hAnsi="Times New Roman" w:cs="Times New Roman"/>
          <w:sz w:val="20"/>
          <w:szCs w:val="20"/>
        </w:rPr>
        <w:t>15</w:t>
      </w:r>
      <w:r w:rsidRPr="0023714A">
        <w:rPr>
          <w:rFonts w:ascii="Times New Roman" w:hAnsi="Times New Roman" w:cs="Times New Roman"/>
          <w:sz w:val="20"/>
          <w:szCs w:val="20"/>
        </w:rPr>
        <w:t>дней с момента обращения.</w:t>
      </w:r>
    </w:p>
    <w:p w:rsidR="00B33894" w:rsidRPr="0023714A" w:rsidRDefault="00B33894" w:rsidP="00B33894">
      <w:pPr>
        <w:spacing w:after="0"/>
        <w:rPr>
          <w:rFonts w:ascii="Times New Roman" w:hAnsi="Times New Roman" w:cs="Times New Roman"/>
          <w:b/>
          <w:sz w:val="20"/>
          <w:szCs w:val="20"/>
        </w:rPr>
      </w:pPr>
      <w:r w:rsidRPr="0023714A">
        <w:rPr>
          <w:rFonts w:ascii="Times New Roman" w:hAnsi="Times New Roman" w:cs="Times New Roman"/>
          <w:b/>
          <w:sz w:val="20"/>
          <w:szCs w:val="20"/>
        </w:rPr>
        <w:t>Состав, последовательность и сроки оказания услуги (процесса):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516"/>
        <w:gridCol w:w="3118"/>
        <w:gridCol w:w="1843"/>
        <w:gridCol w:w="1984"/>
        <w:gridCol w:w="3404"/>
      </w:tblGrid>
      <w:tr w:rsidR="00B33894" w:rsidRPr="0023714A" w:rsidTr="00C3384C">
        <w:tc>
          <w:tcPr>
            <w:tcW w:w="560" w:type="dxa"/>
            <w:vAlign w:val="center"/>
          </w:tcPr>
          <w:p w:rsidR="00B33894" w:rsidRPr="0023714A" w:rsidRDefault="00B33894" w:rsidP="00C3384C">
            <w:pPr>
              <w:jc w:val="center"/>
              <w:rPr>
                <w:rFonts w:ascii="Times New Roman" w:hAnsi="Times New Roman" w:cs="Times New Roman"/>
                <w:b/>
                <w:sz w:val="20"/>
                <w:szCs w:val="20"/>
              </w:rPr>
            </w:pPr>
            <w:r w:rsidRPr="0023714A">
              <w:rPr>
                <w:rFonts w:ascii="Times New Roman" w:hAnsi="Times New Roman" w:cs="Times New Roman"/>
                <w:b/>
                <w:sz w:val="20"/>
                <w:szCs w:val="20"/>
              </w:rPr>
              <w:t xml:space="preserve">№ </w:t>
            </w:r>
            <w:proofErr w:type="gramStart"/>
            <w:r w:rsidRPr="0023714A">
              <w:rPr>
                <w:rFonts w:ascii="Times New Roman" w:hAnsi="Times New Roman" w:cs="Times New Roman"/>
                <w:b/>
                <w:sz w:val="20"/>
                <w:szCs w:val="20"/>
              </w:rPr>
              <w:t>п</w:t>
            </w:r>
            <w:proofErr w:type="gramEnd"/>
            <w:r w:rsidRPr="0023714A">
              <w:rPr>
                <w:rFonts w:ascii="Times New Roman" w:hAnsi="Times New Roman" w:cs="Times New Roman"/>
                <w:b/>
                <w:sz w:val="20"/>
                <w:szCs w:val="20"/>
              </w:rPr>
              <w:t>/п</w:t>
            </w:r>
          </w:p>
        </w:tc>
        <w:tc>
          <w:tcPr>
            <w:tcW w:w="3517" w:type="dxa"/>
            <w:vAlign w:val="center"/>
          </w:tcPr>
          <w:p w:rsidR="00B33894" w:rsidRPr="0023714A" w:rsidRDefault="00B33894" w:rsidP="00C3384C">
            <w:pPr>
              <w:jc w:val="center"/>
              <w:rPr>
                <w:rFonts w:ascii="Times New Roman" w:hAnsi="Times New Roman" w:cs="Times New Roman"/>
                <w:b/>
                <w:sz w:val="20"/>
                <w:szCs w:val="20"/>
              </w:rPr>
            </w:pPr>
            <w:r w:rsidRPr="0023714A">
              <w:rPr>
                <w:rFonts w:ascii="Times New Roman" w:hAnsi="Times New Roman" w:cs="Times New Roman"/>
                <w:b/>
                <w:sz w:val="20"/>
                <w:szCs w:val="20"/>
              </w:rPr>
              <w:t>Этап</w:t>
            </w:r>
          </w:p>
        </w:tc>
        <w:tc>
          <w:tcPr>
            <w:tcW w:w="3119" w:type="dxa"/>
            <w:vAlign w:val="center"/>
          </w:tcPr>
          <w:p w:rsidR="00B33894" w:rsidRPr="0023714A" w:rsidRDefault="00B33894" w:rsidP="007603E7">
            <w:pPr>
              <w:spacing w:after="0"/>
              <w:jc w:val="center"/>
              <w:rPr>
                <w:rFonts w:ascii="Times New Roman" w:hAnsi="Times New Roman" w:cs="Times New Roman"/>
                <w:b/>
                <w:sz w:val="20"/>
                <w:szCs w:val="20"/>
              </w:rPr>
            </w:pPr>
            <w:r w:rsidRPr="0023714A">
              <w:rPr>
                <w:rFonts w:ascii="Times New Roman" w:hAnsi="Times New Roman" w:cs="Times New Roman"/>
                <w:b/>
                <w:sz w:val="20"/>
                <w:szCs w:val="20"/>
              </w:rPr>
              <w:t>Содержание/условие этапа</w:t>
            </w:r>
          </w:p>
        </w:tc>
        <w:tc>
          <w:tcPr>
            <w:tcW w:w="1843" w:type="dxa"/>
            <w:vAlign w:val="center"/>
          </w:tcPr>
          <w:p w:rsidR="00B33894" w:rsidRPr="0023714A" w:rsidRDefault="00B33894" w:rsidP="00C3384C">
            <w:pPr>
              <w:jc w:val="center"/>
              <w:rPr>
                <w:rFonts w:ascii="Times New Roman" w:hAnsi="Times New Roman" w:cs="Times New Roman"/>
                <w:b/>
                <w:sz w:val="20"/>
                <w:szCs w:val="20"/>
              </w:rPr>
            </w:pPr>
            <w:r w:rsidRPr="0023714A">
              <w:rPr>
                <w:rFonts w:ascii="Times New Roman" w:hAnsi="Times New Roman" w:cs="Times New Roman"/>
                <w:b/>
                <w:sz w:val="20"/>
                <w:szCs w:val="20"/>
              </w:rPr>
              <w:t>Форма предоставления</w:t>
            </w:r>
          </w:p>
        </w:tc>
        <w:tc>
          <w:tcPr>
            <w:tcW w:w="1984" w:type="dxa"/>
            <w:vAlign w:val="center"/>
          </w:tcPr>
          <w:p w:rsidR="00B33894" w:rsidRPr="0023714A" w:rsidRDefault="00B33894" w:rsidP="00C3384C">
            <w:pPr>
              <w:jc w:val="center"/>
              <w:rPr>
                <w:rFonts w:ascii="Times New Roman" w:hAnsi="Times New Roman" w:cs="Times New Roman"/>
                <w:b/>
                <w:sz w:val="20"/>
                <w:szCs w:val="20"/>
              </w:rPr>
            </w:pPr>
            <w:r w:rsidRPr="0023714A">
              <w:rPr>
                <w:rFonts w:ascii="Times New Roman" w:hAnsi="Times New Roman" w:cs="Times New Roman"/>
                <w:b/>
                <w:sz w:val="20"/>
                <w:szCs w:val="20"/>
              </w:rPr>
              <w:t>Срок исполнения</w:t>
            </w:r>
          </w:p>
        </w:tc>
        <w:tc>
          <w:tcPr>
            <w:tcW w:w="3402" w:type="dxa"/>
            <w:vAlign w:val="center"/>
          </w:tcPr>
          <w:p w:rsidR="00B33894" w:rsidRPr="0023714A" w:rsidRDefault="00B33894" w:rsidP="00C3384C">
            <w:pPr>
              <w:jc w:val="center"/>
              <w:rPr>
                <w:rFonts w:ascii="Times New Roman" w:hAnsi="Times New Roman" w:cs="Times New Roman"/>
                <w:b/>
                <w:sz w:val="20"/>
                <w:szCs w:val="20"/>
              </w:rPr>
            </w:pPr>
            <w:r w:rsidRPr="0023714A">
              <w:rPr>
                <w:rFonts w:ascii="Times New Roman" w:hAnsi="Times New Roman" w:cs="Times New Roman"/>
                <w:b/>
                <w:sz w:val="20"/>
                <w:szCs w:val="20"/>
              </w:rPr>
              <w:t>Ссылка на нормативный акт</w:t>
            </w:r>
          </w:p>
        </w:tc>
      </w:tr>
      <w:tr w:rsidR="0073771D" w:rsidRPr="0023714A" w:rsidTr="00C3384C">
        <w:tc>
          <w:tcPr>
            <w:tcW w:w="560" w:type="dxa"/>
          </w:tcPr>
          <w:p w:rsidR="0073771D" w:rsidRPr="0023714A" w:rsidRDefault="007603E7" w:rsidP="00C3384C">
            <w:pPr>
              <w:rPr>
                <w:rFonts w:ascii="Times New Roman" w:hAnsi="Times New Roman" w:cs="Times New Roman"/>
                <w:sz w:val="20"/>
                <w:szCs w:val="20"/>
              </w:rPr>
            </w:pPr>
            <w:r>
              <w:rPr>
                <w:rFonts w:ascii="Times New Roman" w:hAnsi="Times New Roman" w:cs="Times New Roman"/>
                <w:sz w:val="20"/>
                <w:szCs w:val="20"/>
              </w:rPr>
              <w:t>1</w:t>
            </w:r>
          </w:p>
        </w:tc>
        <w:tc>
          <w:tcPr>
            <w:tcW w:w="3517" w:type="dxa"/>
          </w:tcPr>
          <w:p w:rsidR="0073771D" w:rsidRDefault="0073771D" w:rsidP="00C3384C">
            <w:pPr>
              <w:jc w:val="center"/>
              <w:rPr>
                <w:rFonts w:ascii="Times New Roman" w:hAnsi="Times New Roman" w:cs="Times New Roman"/>
                <w:sz w:val="20"/>
                <w:szCs w:val="20"/>
              </w:rPr>
            </w:pPr>
            <w:r>
              <w:rPr>
                <w:rFonts w:ascii="Times New Roman" w:hAnsi="Times New Roman" w:cs="Times New Roman"/>
                <w:sz w:val="20"/>
                <w:szCs w:val="20"/>
              </w:rPr>
              <w:t>Определение значения соотношения активной и реактивной мощности сетевой организацией для потребителей энергопринимающих устройств не менее 670 кВт присоединенных к электрическим сетям напряжением 35 кВ и ниже</w:t>
            </w:r>
          </w:p>
          <w:p w:rsidR="0073771D" w:rsidRPr="0023714A" w:rsidRDefault="0073771D" w:rsidP="007603E7">
            <w:pPr>
              <w:jc w:val="center"/>
              <w:rPr>
                <w:rFonts w:ascii="Times New Roman" w:hAnsi="Times New Roman" w:cs="Times New Roman"/>
                <w:sz w:val="20"/>
                <w:szCs w:val="20"/>
              </w:rPr>
            </w:pPr>
            <w:r>
              <w:rPr>
                <w:rFonts w:ascii="Times New Roman" w:hAnsi="Times New Roman" w:cs="Times New Roman"/>
                <w:sz w:val="20"/>
                <w:szCs w:val="20"/>
              </w:rPr>
              <w:t>И сетевой организацией совместно с субъектом оперативно-диспетчерского управления для потребителей энергопринимающих устройств не менее 670 кВт присоединенных к электрическим сетям напряжением 35 кВ и выше</w:t>
            </w:r>
          </w:p>
        </w:tc>
        <w:tc>
          <w:tcPr>
            <w:tcW w:w="3119" w:type="dxa"/>
          </w:tcPr>
          <w:p w:rsidR="0073771D" w:rsidRDefault="0073771D"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Соотношение активной и реактивной мощности определяется </w:t>
            </w:r>
            <w:r w:rsidR="007603E7">
              <w:rPr>
                <w:rFonts w:ascii="Times New Roman" w:hAnsi="Times New Roman" w:cs="Times New Roman"/>
                <w:sz w:val="20"/>
                <w:szCs w:val="20"/>
              </w:rPr>
              <w:t>в порядке, предусмотренном законодательством</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gramStart"/>
            <w:r>
              <w:rPr>
                <w:rFonts w:ascii="Times New Roman" w:hAnsi="Times New Roman" w:cs="Times New Roman"/>
                <w:sz w:val="20"/>
                <w:szCs w:val="20"/>
              </w:rPr>
              <w:t>мегавольт-амперах</w:t>
            </w:r>
            <w:proofErr w:type="gramEnd"/>
            <w:r>
              <w:rPr>
                <w:rFonts w:ascii="Times New Roman" w:hAnsi="Times New Roman" w:cs="Times New Roman"/>
                <w:sz w:val="20"/>
                <w:szCs w:val="20"/>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отсутствия в документах о технологическом присоединении информации о коэффициенте соотношения </w:t>
            </w:r>
            <w:r>
              <w:rPr>
                <w:rFonts w:ascii="Times New Roman" w:hAnsi="Times New Roman" w:cs="Times New Roman"/>
                <w:sz w:val="20"/>
                <w:szCs w:val="20"/>
              </w:rPr>
              <w:lastRenderedPageBreak/>
              <w:t>потребления активной и реактивной мощности для расчета величины максимальной мощности в киловаттах применяются следующие коэффициенты:</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0,35 - для точек присоединения напряжением менее 6 кВ;</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0,4 - для точек присоединения напряжением 6 кВ и выше;</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0,5 - для точек присоединения напряжением 110 кВ и выше.</w:t>
            </w:r>
          </w:p>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p>
          <w:p w:rsidR="0073771D" w:rsidRPr="0023714A" w:rsidRDefault="0073771D" w:rsidP="007603E7">
            <w:pPr>
              <w:spacing w:after="0"/>
              <w:rPr>
                <w:rFonts w:ascii="Times New Roman" w:hAnsi="Times New Roman" w:cs="Times New Roman"/>
                <w:sz w:val="20"/>
                <w:szCs w:val="20"/>
              </w:rPr>
            </w:pPr>
          </w:p>
        </w:tc>
        <w:tc>
          <w:tcPr>
            <w:tcW w:w="1843" w:type="dxa"/>
          </w:tcPr>
          <w:p w:rsidR="0073771D" w:rsidRPr="0023714A" w:rsidRDefault="0073771D" w:rsidP="00C3384C">
            <w:pPr>
              <w:rPr>
                <w:rFonts w:ascii="Times New Roman" w:hAnsi="Times New Roman" w:cs="Times New Roman"/>
                <w:sz w:val="20"/>
                <w:szCs w:val="20"/>
              </w:rPr>
            </w:pPr>
          </w:p>
        </w:tc>
        <w:tc>
          <w:tcPr>
            <w:tcW w:w="1984" w:type="dxa"/>
          </w:tcPr>
          <w:p w:rsidR="0073771D" w:rsidRPr="0023714A" w:rsidRDefault="0073771D" w:rsidP="00C3384C">
            <w:pPr>
              <w:rPr>
                <w:rFonts w:ascii="Times New Roman" w:hAnsi="Times New Roman" w:cs="Times New Roman"/>
                <w:sz w:val="20"/>
                <w:szCs w:val="20"/>
              </w:rPr>
            </w:pPr>
          </w:p>
        </w:tc>
        <w:tc>
          <w:tcPr>
            <w:tcW w:w="3402" w:type="dxa"/>
          </w:tcPr>
          <w:p w:rsidR="007603E7" w:rsidRDefault="007603E7" w:rsidP="00C3384C">
            <w:pPr>
              <w:autoSpaceDE w:val="0"/>
              <w:autoSpaceDN w:val="0"/>
              <w:adjustRightInd w:val="0"/>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 xml:space="preserve">Порядок определен Приказом Минэнерго от 23.06.2015 № 380 </w:t>
            </w:r>
          </w:p>
          <w:p w:rsidR="007603E7" w:rsidRPr="007603E7" w:rsidRDefault="007603E7" w:rsidP="007603E7">
            <w:pPr>
              <w:rPr>
                <w:rFonts w:ascii="Times New Roman" w:hAnsi="Times New Roman" w:cs="Times New Roman"/>
                <w:sz w:val="20"/>
                <w:szCs w:val="20"/>
              </w:rPr>
            </w:pPr>
          </w:p>
          <w:p w:rsidR="007603E7" w:rsidRDefault="007603E7" w:rsidP="007603E7">
            <w:pPr>
              <w:rPr>
                <w:rFonts w:ascii="Times New Roman" w:hAnsi="Times New Roman" w:cs="Times New Roman"/>
                <w:sz w:val="20"/>
                <w:szCs w:val="20"/>
              </w:rPr>
            </w:pPr>
          </w:p>
          <w:p w:rsidR="0073771D" w:rsidRPr="007603E7" w:rsidRDefault="007603E7" w:rsidP="007603E7">
            <w:pPr>
              <w:rPr>
                <w:rFonts w:ascii="Times New Roman" w:hAnsi="Times New Roman" w:cs="Times New Roman"/>
                <w:sz w:val="20"/>
                <w:szCs w:val="20"/>
              </w:rPr>
            </w:pPr>
            <w:r>
              <w:rPr>
                <w:rFonts w:ascii="Times New Roman" w:hAnsi="Times New Roman" w:cs="Times New Roman"/>
                <w:sz w:val="20"/>
                <w:szCs w:val="20"/>
              </w:rPr>
              <w:t>П. 76 Постановления Правительства РФ № 861 от 27.12.2004 г. (с изменениями)</w:t>
            </w:r>
          </w:p>
        </w:tc>
      </w:tr>
      <w:tr w:rsidR="00B33894" w:rsidRPr="0023714A" w:rsidTr="00C3384C">
        <w:tc>
          <w:tcPr>
            <w:tcW w:w="560" w:type="dxa"/>
          </w:tcPr>
          <w:p w:rsidR="00B33894" w:rsidRPr="0023714A" w:rsidRDefault="007603E7" w:rsidP="00C3384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517" w:type="dxa"/>
          </w:tcPr>
          <w:p w:rsidR="00B33894" w:rsidRDefault="00B33894" w:rsidP="00C3384C">
            <w:pPr>
              <w:jc w:val="center"/>
              <w:rPr>
                <w:rFonts w:ascii="Times New Roman" w:hAnsi="Times New Roman" w:cs="Times New Roman"/>
                <w:sz w:val="20"/>
                <w:szCs w:val="20"/>
              </w:rPr>
            </w:pPr>
            <w:r w:rsidRPr="0023714A">
              <w:rPr>
                <w:rFonts w:ascii="Times New Roman" w:hAnsi="Times New Roman" w:cs="Times New Roman"/>
                <w:sz w:val="20"/>
                <w:szCs w:val="20"/>
              </w:rPr>
              <w:t>Подача заявки на проведение контроля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потребителя.</w:t>
            </w:r>
          </w:p>
          <w:p w:rsidR="00190096" w:rsidRPr="0023714A" w:rsidRDefault="00190096" w:rsidP="00C3384C">
            <w:pPr>
              <w:jc w:val="center"/>
              <w:rPr>
                <w:rFonts w:ascii="Times New Roman" w:hAnsi="Times New Roman" w:cs="Times New Roman"/>
                <w:sz w:val="20"/>
                <w:szCs w:val="20"/>
              </w:rPr>
            </w:pPr>
            <w:r>
              <w:rPr>
                <w:rFonts w:ascii="Times New Roman" w:hAnsi="Times New Roman" w:cs="Times New Roman"/>
                <w:sz w:val="20"/>
                <w:szCs w:val="20"/>
              </w:rPr>
              <w:t>Заявители с максимальной мощностью энергопринимающих устройств не менее 670 кВт</w:t>
            </w:r>
          </w:p>
        </w:tc>
        <w:tc>
          <w:tcPr>
            <w:tcW w:w="3119"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Содержание заявки: реквизиты заявителя, место нахождения энергопринимающих устройств, номер и дата акта разграничения балансовой принадлежности электросетей</w:t>
            </w:r>
            <w:r w:rsidR="00190096">
              <w:rPr>
                <w:rFonts w:ascii="Times New Roman" w:hAnsi="Times New Roman" w:cs="Times New Roman"/>
                <w:sz w:val="20"/>
                <w:szCs w:val="20"/>
              </w:rPr>
              <w:t xml:space="preserve"> либо с 31.07.2017 г. акта об осуществлении технологического присоединения</w:t>
            </w:r>
            <w:r w:rsidRPr="0023714A">
              <w:rPr>
                <w:rFonts w:ascii="Times New Roman" w:hAnsi="Times New Roman" w:cs="Times New Roman"/>
                <w:sz w:val="20"/>
                <w:szCs w:val="20"/>
              </w:rPr>
              <w:t xml:space="preserve">, номер и дата договора электроснабжения </w:t>
            </w:r>
            <w:r w:rsidR="00190096">
              <w:rPr>
                <w:rFonts w:ascii="Times New Roman" w:hAnsi="Times New Roman" w:cs="Times New Roman"/>
                <w:sz w:val="20"/>
                <w:szCs w:val="20"/>
              </w:rPr>
              <w:t>(купли-продаж</w:t>
            </w:r>
            <w:proofErr w:type="gramStart"/>
            <w:r w:rsidR="00190096">
              <w:rPr>
                <w:rFonts w:ascii="Times New Roman" w:hAnsi="Times New Roman" w:cs="Times New Roman"/>
                <w:sz w:val="20"/>
                <w:szCs w:val="20"/>
              </w:rPr>
              <w:t>и(</w:t>
            </w:r>
            <w:proofErr w:type="gramEnd"/>
            <w:r w:rsidR="00190096">
              <w:rPr>
                <w:rFonts w:ascii="Times New Roman" w:hAnsi="Times New Roman" w:cs="Times New Roman"/>
                <w:sz w:val="20"/>
                <w:szCs w:val="20"/>
              </w:rPr>
              <w:t xml:space="preserve">поставки) электроэнергии </w:t>
            </w:r>
            <w:r w:rsidRPr="0023714A">
              <w:rPr>
                <w:rFonts w:ascii="Times New Roman" w:hAnsi="Times New Roman" w:cs="Times New Roman"/>
                <w:sz w:val="20"/>
                <w:szCs w:val="20"/>
              </w:rPr>
              <w:t>с ресурсоснабжающей организацией</w:t>
            </w:r>
            <w:r w:rsidR="00190096">
              <w:rPr>
                <w:rFonts w:ascii="Times New Roman" w:hAnsi="Times New Roman" w:cs="Times New Roman"/>
                <w:sz w:val="20"/>
                <w:szCs w:val="20"/>
              </w:rPr>
              <w:t xml:space="preserve"> либо договора оказания услуг по передаче электрической энергии с МП «Горэлектросеть» МО «Няндомское»</w:t>
            </w:r>
            <w:r w:rsidRPr="0023714A">
              <w:rPr>
                <w:rFonts w:ascii="Times New Roman" w:hAnsi="Times New Roman" w:cs="Times New Roman"/>
                <w:sz w:val="20"/>
                <w:szCs w:val="20"/>
              </w:rPr>
              <w:t>.</w:t>
            </w:r>
          </w:p>
        </w:tc>
        <w:tc>
          <w:tcPr>
            <w:tcW w:w="1843"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В письменной, электронной, устной форме, с использованием телефонной связи.</w:t>
            </w:r>
          </w:p>
        </w:tc>
        <w:tc>
          <w:tcPr>
            <w:tcW w:w="1984" w:type="dxa"/>
          </w:tcPr>
          <w:p w:rsidR="00B33894" w:rsidRPr="0023714A" w:rsidRDefault="00B33894" w:rsidP="00C3384C">
            <w:pPr>
              <w:rPr>
                <w:rFonts w:ascii="Times New Roman" w:hAnsi="Times New Roman" w:cs="Times New Roman"/>
                <w:sz w:val="20"/>
                <w:szCs w:val="20"/>
              </w:rPr>
            </w:pPr>
          </w:p>
        </w:tc>
        <w:tc>
          <w:tcPr>
            <w:tcW w:w="3402" w:type="dxa"/>
          </w:tcPr>
          <w:p w:rsidR="00B33894" w:rsidRPr="0023714A" w:rsidRDefault="00B33894" w:rsidP="00C3384C">
            <w:pPr>
              <w:autoSpaceDE w:val="0"/>
              <w:autoSpaceDN w:val="0"/>
              <w:adjustRightInd w:val="0"/>
              <w:spacing w:after="0" w:line="240" w:lineRule="auto"/>
              <w:ind w:left="34"/>
              <w:jc w:val="both"/>
              <w:rPr>
                <w:rFonts w:ascii="Times New Roman" w:hAnsi="Times New Roman" w:cs="Times New Roman"/>
                <w:sz w:val="20"/>
                <w:szCs w:val="20"/>
              </w:rPr>
            </w:pPr>
            <w:r w:rsidRPr="0023714A">
              <w:rPr>
                <w:rFonts w:ascii="Times New Roman" w:hAnsi="Times New Roman" w:cs="Times New Roman"/>
                <w:sz w:val="20"/>
                <w:szCs w:val="20"/>
              </w:rPr>
              <w:t xml:space="preserve">Приказ Минэнерго РФ от </w:t>
            </w:r>
            <w:r w:rsidR="00190096">
              <w:rPr>
                <w:rFonts w:ascii="Times New Roman" w:hAnsi="Times New Roman" w:cs="Times New Roman"/>
                <w:sz w:val="20"/>
                <w:szCs w:val="20"/>
              </w:rPr>
              <w:t>23.06.2015 № 380</w:t>
            </w:r>
          </w:p>
          <w:p w:rsidR="00190096" w:rsidRDefault="00190096" w:rsidP="00C3384C">
            <w:pPr>
              <w:rPr>
                <w:rFonts w:ascii="Times New Roman" w:hAnsi="Times New Roman" w:cs="Times New Roman"/>
                <w:sz w:val="20"/>
                <w:szCs w:val="20"/>
              </w:rPr>
            </w:pPr>
          </w:p>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Приказ Минэнерго России (Министерство энергетики РФ) от 15 апреля2014 г. №186 «О единых стандартах качества обслуживания сетевыми организациями потребителей услуг сетевых организаций».</w:t>
            </w:r>
          </w:p>
        </w:tc>
      </w:tr>
      <w:tr w:rsidR="00190096" w:rsidRPr="0023714A" w:rsidTr="00965674">
        <w:tc>
          <w:tcPr>
            <w:tcW w:w="560" w:type="dxa"/>
          </w:tcPr>
          <w:p w:rsidR="00190096" w:rsidRPr="0023714A" w:rsidRDefault="007603E7" w:rsidP="00C3384C">
            <w:pPr>
              <w:rPr>
                <w:rFonts w:ascii="Times New Roman" w:hAnsi="Times New Roman" w:cs="Times New Roman"/>
                <w:sz w:val="20"/>
                <w:szCs w:val="20"/>
              </w:rPr>
            </w:pPr>
            <w:r>
              <w:rPr>
                <w:rFonts w:ascii="Times New Roman" w:hAnsi="Times New Roman" w:cs="Times New Roman"/>
                <w:sz w:val="20"/>
                <w:szCs w:val="20"/>
              </w:rPr>
              <w:t>3</w:t>
            </w:r>
            <w:r w:rsidR="00190096">
              <w:rPr>
                <w:rFonts w:ascii="Times New Roman" w:hAnsi="Times New Roman" w:cs="Times New Roman"/>
                <w:sz w:val="20"/>
                <w:szCs w:val="20"/>
              </w:rPr>
              <w:t xml:space="preserve"> </w:t>
            </w:r>
          </w:p>
        </w:tc>
        <w:tc>
          <w:tcPr>
            <w:tcW w:w="13865" w:type="dxa"/>
            <w:gridSpan w:val="5"/>
          </w:tcPr>
          <w:p w:rsidR="00190096" w:rsidRDefault="00190096" w:rsidP="00190096">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Заявителями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w:t>
            </w:r>
            <w:proofErr w:type="gramEnd"/>
            <w:r>
              <w:rPr>
                <w:rFonts w:ascii="Times New Roman" w:hAnsi="Times New Roman" w:cs="Times New Roman"/>
                <w:sz w:val="20"/>
                <w:szCs w:val="20"/>
              </w:rPr>
              <w:t xml:space="preserve">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90096" w:rsidRPr="0023714A" w:rsidRDefault="00190096" w:rsidP="00C3384C">
            <w:pPr>
              <w:autoSpaceDE w:val="0"/>
              <w:autoSpaceDN w:val="0"/>
              <w:adjustRightInd w:val="0"/>
              <w:spacing w:after="0" w:line="240" w:lineRule="auto"/>
              <w:ind w:left="34"/>
              <w:jc w:val="both"/>
              <w:rPr>
                <w:rFonts w:ascii="Times New Roman" w:hAnsi="Times New Roman" w:cs="Times New Roman"/>
                <w:sz w:val="20"/>
                <w:szCs w:val="20"/>
              </w:rPr>
            </w:pPr>
          </w:p>
        </w:tc>
      </w:tr>
      <w:tr w:rsidR="00B33894" w:rsidRPr="0023714A" w:rsidTr="00C3384C">
        <w:tc>
          <w:tcPr>
            <w:tcW w:w="560" w:type="dxa"/>
          </w:tcPr>
          <w:p w:rsidR="00B33894" w:rsidRPr="0023714A" w:rsidRDefault="007603E7" w:rsidP="00C3384C">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3517"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Проведение инструментальных измерений</w:t>
            </w:r>
          </w:p>
        </w:tc>
        <w:tc>
          <w:tcPr>
            <w:tcW w:w="3119"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Осуществление потребителем допуска к электроустановке. Проведение организационных и технических мероприятий по электробезопасности.</w:t>
            </w:r>
          </w:p>
        </w:tc>
        <w:tc>
          <w:tcPr>
            <w:tcW w:w="1843" w:type="dxa"/>
          </w:tcPr>
          <w:p w:rsidR="00B33894" w:rsidRPr="0023714A" w:rsidRDefault="00B33894" w:rsidP="00C3384C">
            <w:pPr>
              <w:rPr>
                <w:rFonts w:ascii="Times New Roman" w:hAnsi="Times New Roman" w:cs="Times New Roman"/>
                <w:sz w:val="20"/>
                <w:szCs w:val="20"/>
              </w:rPr>
            </w:pPr>
          </w:p>
        </w:tc>
        <w:tc>
          <w:tcPr>
            <w:tcW w:w="1984"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15 дней с момента подачи заявки</w:t>
            </w:r>
          </w:p>
        </w:tc>
        <w:tc>
          <w:tcPr>
            <w:tcW w:w="3402" w:type="dxa"/>
          </w:tcPr>
          <w:p w:rsidR="00B33894" w:rsidRPr="0023714A" w:rsidRDefault="00B33894" w:rsidP="00C3384C">
            <w:pPr>
              <w:rPr>
                <w:rFonts w:ascii="Times New Roman" w:hAnsi="Times New Roman" w:cs="Times New Roman"/>
                <w:sz w:val="20"/>
                <w:szCs w:val="20"/>
              </w:rPr>
            </w:pPr>
          </w:p>
        </w:tc>
      </w:tr>
      <w:tr w:rsidR="00B33894" w:rsidRPr="0023714A" w:rsidTr="00C3384C">
        <w:tc>
          <w:tcPr>
            <w:tcW w:w="560" w:type="dxa"/>
          </w:tcPr>
          <w:p w:rsidR="00B33894" w:rsidRPr="0023714A" w:rsidRDefault="007603E7" w:rsidP="00C3384C">
            <w:pPr>
              <w:rPr>
                <w:rFonts w:ascii="Times New Roman" w:hAnsi="Times New Roman" w:cs="Times New Roman"/>
                <w:sz w:val="20"/>
                <w:szCs w:val="20"/>
              </w:rPr>
            </w:pPr>
            <w:r>
              <w:rPr>
                <w:rFonts w:ascii="Times New Roman" w:hAnsi="Times New Roman" w:cs="Times New Roman"/>
                <w:sz w:val="20"/>
                <w:szCs w:val="20"/>
              </w:rPr>
              <w:t>5</w:t>
            </w:r>
          </w:p>
        </w:tc>
        <w:tc>
          <w:tcPr>
            <w:tcW w:w="3517"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 xml:space="preserve">Составление </w:t>
            </w:r>
            <w:r w:rsidR="0073771D">
              <w:rPr>
                <w:rFonts w:ascii="Times New Roman" w:hAnsi="Times New Roman" w:cs="Times New Roman"/>
                <w:sz w:val="20"/>
                <w:szCs w:val="20"/>
              </w:rPr>
              <w:t xml:space="preserve">протокола с резльтатами измерений с </w:t>
            </w:r>
            <w:r w:rsidRPr="0023714A">
              <w:rPr>
                <w:rFonts w:ascii="Times New Roman" w:hAnsi="Times New Roman" w:cs="Times New Roman"/>
                <w:sz w:val="20"/>
                <w:szCs w:val="20"/>
              </w:rPr>
              <w:t>заключени</w:t>
            </w:r>
            <w:r w:rsidR="0073771D">
              <w:rPr>
                <w:rFonts w:ascii="Times New Roman" w:hAnsi="Times New Roman" w:cs="Times New Roman"/>
                <w:sz w:val="20"/>
                <w:szCs w:val="20"/>
              </w:rPr>
              <w:t>ем</w:t>
            </w:r>
            <w:r w:rsidRPr="0023714A">
              <w:rPr>
                <w:rFonts w:ascii="Times New Roman" w:hAnsi="Times New Roman" w:cs="Times New Roman"/>
                <w:sz w:val="20"/>
                <w:szCs w:val="20"/>
              </w:rPr>
              <w:t xml:space="preserve"> о соответствии (несоответствии) техническим регламентам и иным обязательным требованиям и внесение результатов в протокол измерения </w:t>
            </w:r>
          </w:p>
          <w:p w:rsidR="00B33894" w:rsidRPr="0023714A" w:rsidRDefault="00B33894" w:rsidP="00C3384C">
            <w:pPr>
              <w:rPr>
                <w:rFonts w:ascii="Times New Roman" w:hAnsi="Times New Roman" w:cs="Times New Roman"/>
                <w:sz w:val="20"/>
                <w:szCs w:val="20"/>
              </w:rPr>
            </w:pPr>
          </w:p>
        </w:tc>
        <w:tc>
          <w:tcPr>
            <w:tcW w:w="3119" w:type="dxa"/>
          </w:tcPr>
          <w:p w:rsidR="00B33894" w:rsidRPr="0023714A" w:rsidRDefault="00B33894" w:rsidP="00C3384C">
            <w:pPr>
              <w:rPr>
                <w:rFonts w:ascii="Times New Roman" w:hAnsi="Times New Roman" w:cs="Times New Roman"/>
                <w:sz w:val="20"/>
                <w:szCs w:val="20"/>
              </w:rPr>
            </w:pPr>
          </w:p>
        </w:tc>
        <w:tc>
          <w:tcPr>
            <w:tcW w:w="1843"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В письменной форме</w:t>
            </w:r>
          </w:p>
        </w:tc>
        <w:tc>
          <w:tcPr>
            <w:tcW w:w="1984" w:type="dxa"/>
          </w:tcPr>
          <w:p w:rsidR="00B33894" w:rsidRPr="0023714A" w:rsidRDefault="00B33894" w:rsidP="00C3384C">
            <w:pPr>
              <w:rPr>
                <w:rFonts w:ascii="Times New Roman" w:hAnsi="Times New Roman" w:cs="Times New Roman"/>
                <w:sz w:val="20"/>
                <w:szCs w:val="20"/>
              </w:rPr>
            </w:pPr>
            <w:r w:rsidRPr="0023714A">
              <w:rPr>
                <w:rFonts w:ascii="Times New Roman" w:hAnsi="Times New Roman" w:cs="Times New Roman"/>
                <w:sz w:val="20"/>
                <w:szCs w:val="20"/>
              </w:rPr>
              <w:t>15 дней с момента подачи заявки</w:t>
            </w:r>
          </w:p>
        </w:tc>
        <w:tc>
          <w:tcPr>
            <w:tcW w:w="3402" w:type="dxa"/>
          </w:tcPr>
          <w:p w:rsidR="00B33894" w:rsidRPr="0023714A" w:rsidRDefault="00B33894" w:rsidP="00C3384C">
            <w:pPr>
              <w:rPr>
                <w:rFonts w:ascii="Times New Roman" w:hAnsi="Times New Roman" w:cs="Times New Roman"/>
                <w:sz w:val="20"/>
                <w:szCs w:val="20"/>
              </w:rPr>
            </w:pPr>
          </w:p>
        </w:tc>
      </w:tr>
      <w:tr w:rsidR="007603E7" w:rsidRPr="0023714A" w:rsidTr="007603E7">
        <w:tc>
          <w:tcPr>
            <w:tcW w:w="560" w:type="dxa"/>
          </w:tcPr>
          <w:p w:rsidR="007603E7" w:rsidRDefault="007603E7" w:rsidP="00C3384C">
            <w:pPr>
              <w:rPr>
                <w:rFonts w:ascii="Times New Roman" w:hAnsi="Times New Roman" w:cs="Times New Roman"/>
                <w:sz w:val="20"/>
                <w:szCs w:val="20"/>
              </w:rPr>
            </w:pPr>
            <w:r>
              <w:rPr>
                <w:rFonts w:ascii="Times New Roman" w:hAnsi="Times New Roman" w:cs="Times New Roman"/>
                <w:sz w:val="20"/>
                <w:szCs w:val="20"/>
              </w:rPr>
              <w:t>6</w:t>
            </w:r>
          </w:p>
        </w:tc>
        <w:tc>
          <w:tcPr>
            <w:tcW w:w="10460" w:type="dxa"/>
            <w:gridSpan w:val="4"/>
          </w:tcPr>
          <w:p w:rsidR="007603E7" w:rsidRDefault="007603E7" w:rsidP="007603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16. </w:t>
            </w:r>
            <w:proofErr w:type="gramStart"/>
            <w:r>
              <w:rPr>
                <w:rFonts w:ascii="Times New Roman" w:hAnsi="Times New Roman" w:cs="Times New Roman"/>
                <w:sz w:val="20"/>
                <w:szCs w:val="20"/>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утверждаемыми</w:t>
            </w:r>
            <w:proofErr w:type="gramEnd"/>
            <w:r>
              <w:rPr>
                <w:rFonts w:ascii="Times New Roman" w:hAnsi="Times New Roman" w:cs="Times New Roman"/>
                <w:sz w:val="20"/>
                <w:szCs w:val="20"/>
              </w:rPr>
              <w:t xml:space="preserve"> федеральным органом исполнительной власти в области государственного регулирования тарифов.</w:t>
            </w:r>
          </w:p>
          <w:p w:rsidR="007603E7" w:rsidRDefault="007603E7" w:rsidP="007603E7">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 факту выявления сетевой организацией на основании </w:t>
            </w:r>
            <w:proofErr w:type="gramStart"/>
            <w:r>
              <w:rPr>
                <w:rFonts w:ascii="Times New Roman" w:hAnsi="Times New Roman" w:cs="Times New Roman"/>
                <w:sz w:val="20"/>
                <w:szCs w:val="20"/>
              </w:rPr>
              <w:t>показаний приборов учета нарушений значений соотношения потребления активной</w:t>
            </w:r>
            <w:proofErr w:type="gramEnd"/>
            <w:r>
              <w:rPr>
                <w:rFonts w:ascii="Times New Roman" w:hAnsi="Times New Roman" w:cs="Times New Roman"/>
                <w:sz w:val="20"/>
                <w:szCs w:val="20"/>
              </w:rPr>
              <w:t xml:space="preserve"> и реактивной мощности составляется акт, который направляется потребителю. </w:t>
            </w:r>
            <w:proofErr w:type="gramStart"/>
            <w:r>
              <w:rPr>
                <w:rFonts w:ascii="Times New Roman" w:hAnsi="Times New Roman" w:cs="Times New Roman"/>
                <w:sz w:val="20"/>
                <w:szCs w:val="20"/>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Times New Roman" w:hAnsi="Times New Roman" w:cs="Times New Roman"/>
                <w:sz w:val="20"/>
                <w:szCs w:val="20"/>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603E7" w:rsidRDefault="007603E7" w:rsidP="007603E7">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Размер указанных повышающего и понижающего коэффициентов устанавливается в соответствии с </w:t>
            </w:r>
            <w:hyperlink r:id="rId5" w:history="1">
              <w:r>
                <w:rPr>
                  <w:rFonts w:ascii="Times New Roman" w:hAnsi="Times New Roman" w:cs="Times New Roman"/>
                  <w:color w:val="0000FF"/>
                  <w:sz w:val="20"/>
                  <w:szCs w:val="20"/>
                </w:rPr>
                <w:t>методическими указаниями</w:t>
              </w:r>
            </w:hyperlink>
            <w:r>
              <w:rPr>
                <w:rFonts w:ascii="Times New Roman" w:hAnsi="Times New Roman" w:cs="Times New Roman"/>
                <w:sz w:val="20"/>
                <w:szCs w:val="20"/>
              </w:rPr>
              <w:t>, утверждаемыми федеральным органом исполнительной власти в области государственного регулирования тарифов.</w:t>
            </w:r>
          </w:p>
          <w:p w:rsidR="007603E7" w:rsidRPr="0023714A" w:rsidRDefault="007603E7" w:rsidP="007603E7">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tc>
        <w:tc>
          <w:tcPr>
            <w:tcW w:w="3405" w:type="dxa"/>
          </w:tcPr>
          <w:p w:rsidR="007603E7" w:rsidRPr="0023714A" w:rsidRDefault="007603E7" w:rsidP="00C3384C">
            <w:pPr>
              <w:rPr>
                <w:rFonts w:ascii="Times New Roman" w:hAnsi="Times New Roman" w:cs="Times New Roman"/>
                <w:sz w:val="20"/>
                <w:szCs w:val="20"/>
              </w:rPr>
            </w:pPr>
            <w:r>
              <w:rPr>
                <w:rFonts w:ascii="Times New Roman" w:hAnsi="Times New Roman" w:cs="Times New Roman"/>
                <w:sz w:val="20"/>
                <w:szCs w:val="20"/>
              </w:rPr>
              <w:t>П. 16 Постановления Правительства № 861 от 27.12.2004 г. (с изменениями)</w:t>
            </w:r>
          </w:p>
        </w:tc>
      </w:tr>
    </w:tbl>
    <w:p w:rsidR="00B33894" w:rsidRPr="0023714A" w:rsidRDefault="00B33894" w:rsidP="00B33894">
      <w:pPr>
        <w:ind w:firstLine="708"/>
        <w:rPr>
          <w:rFonts w:ascii="Times New Roman" w:hAnsi="Times New Roman" w:cs="Times New Roman"/>
          <w:sz w:val="20"/>
          <w:szCs w:val="20"/>
        </w:rPr>
      </w:pPr>
    </w:p>
    <w:tbl>
      <w:tblPr>
        <w:tblStyle w:val="a3"/>
        <w:tblW w:w="0" w:type="auto"/>
        <w:tblInd w:w="108" w:type="dxa"/>
        <w:tblLook w:val="04A0"/>
      </w:tblPr>
      <w:tblGrid>
        <w:gridCol w:w="7179"/>
        <w:gridCol w:w="7138"/>
      </w:tblGrid>
      <w:tr w:rsidR="00B33894" w:rsidRPr="0056192F" w:rsidTr="00C3384C">
        <w:tc>
          <w:tcPr>
            <w:tcW w:w="7179" w:type="dxa"/>
          </w:tcPr>
          <w:p w:rsidR="00B33894" w:rsidRPr="0056192F" w:rsidRDefault="00B33894" w:rsidP="00C3384C">
            <w:pPr>
              <w:rPr>
                <w:rFonts w:ascii="Times New Roman" w:hAnsi="Times New Roman"/>
              </w:rPr>
            </w:pPr>
            <w:r w:rsidRPr="0056192F">
              <w:rPr>
                <w:rFonts w:ascii="Times New Roman" w:hAnsi="Times New Roman"/>
              </w:rPr>
              <w:t>Контактная информация для направления обращений</w:t>
            </w:r>
          </w:p>
        </w:tc>
        <w:tc>
          <w:tcPr>
            <w:tcW w:w="7138" w:type="dxa"/>
          </w:tcPr>
          <w:p w:rsidR="00B33894" w:rsidRDefault="00B33894" w:rsidP="00C3384C">
            <w:pPr>
              <w:rPr>
                <w:rFonts w:ascii="Times New Roman" w:hAnsi="Times New Roman"/>
              </w:rPr>
            </w:pPr>
            <w:r>
              <w:rPr>
                <w:rFonts w:ascii="Times New Roman" w:hAnsi="Times New Roman"/>
              </w:rPr>
              <w:t>г.</w:t>
            </w:r>
            <w:r w:rsidRPr="0056192F">
              <w:rPr>
                <w:rFonts w:ascii="Times New Roman" w:hAnsi="Times New Roman"/>
              </w:rPr>
              <w:t xml:space="preserve"> Няндома, ул. Ленина, д. 51 телефон</w:t>
            </w:r>
            <w:r>
              <w:rPr>
                <w:rFonts w:ascii="Times New Roman" w:hAnsi="Times New Roman"/>
              </w:rPr>
              <w:t xml:space="preserve"> 6-16-70, 6-25-35</w:t>
            </w:r>
          </w:p>
          <w:p w:rsidR="00B33894" w:rsidRPr="0056192F" w:rsidRDefault="00B33894" w:rsidP="00C3384C">
            <w:pPr>
              <w:rPr>
                <w:rFonts w:ascii="Times New Roman" w:hAnsi="Times New Roman"/>
              </w:rPr>
            </w:pPr>
            <w:r w:rsidRPr="0056192F">
              <w:rPr>
                <w:rFonts w:ascii="Times New Roman" w:hAnsi="Times New Roman"/>
                <w:lang w:val="en-US"/>
              </w:rPr>
              <w:t>email</w:t>
            </w:r>
            <w:r>
              <w:rPr>
                <w:rFonts w:ascii="Times New Roman" w:hAnsi="Times New Roman"/>
              </w:rPr>
              <w:t xml:space="preserve"> </w:t>
            </w:r>
            <w:r w:rsidR="007D3E4F">
              <w:rPr>
                <w:rFonts w:ascii="Times New Roman" w:hAnsi="Times New Roman"/>
                <w:lang w:val="en-US"/>
              </w:rPr>
              <w:t>ngorset@yandex.ru</w:t>
            </w:r>
          </w:p>
        </w:tc>
      </w:tr>
      <w:tr w:rsidR="00B33894" w:rsidRPr="0056192F" w:rsidTr="00C3384C">
        <w:tc>
          <w:tcPr>
            <w:tcW w:w="7179" w:type="dxa"/>
          </w:tcPr>
          <w:p w:rsidR="00B33894" w:rsidRPr="0056192F" w:rsidRDefault="00B33894" w:rsidP="00C3384C">
            <w:pPr>
              <w:rPr>
                <w:rFonts w:ascii="Times New Roman" w:hAnsi="Times New Roman"/>
              </w:rPr>
            </w:pPr>
            <w:r w:rsidRPr="0056192F">
              <w:rPr>
                <w:rFonts w:ascii="Times New Roman" w:hAnsi="Times New Roman"/>
              </w:rPr>
              <w:t>Для подачи жалобы на действие (бездействие) работника по оказываемой услуге непосредственному руководителю</w:t>
            </w:r>
          </w:p>
        </w:tc>
        <w:tc>
          <w:tcPr>
            <w:tcW w:w="7138" w:type="dxa"/>
          </w:tcPr>
          <w:p w:rsidR="00B33894" w:rsidRPr="0056192F" w:rsidRDefault="00B33894" w:rsidP="00C3384C">
            <w:pPr>
              <w:rPr>
                <w:rFonts w:ascii="Times New Roman" w:hAnsi="Times New Roman"/>
              </w:rPr>
            </w:pPr>
            <w:r>
              <w:rPr>
                <w:rFonts w:ascii="Times New Roman" w:hAnsi="Times New Roman"/>
              </w:rPr>
              <w:t>г</w:t>
            </w:r>
            <w:r w:rsidRPr="0056192F">
              <w:rPr>
                <w:rFonts w:ascii="Times New Roman" w:hAnsi="Times New Roman"/>
              </w:rPr>
              <w:t>. Няндома, ул. Ленина, д. 51 телефон 6-14-45</w:t>
            </w:r>
            <w:r>
              <w:rPr>
                <w:rFonts w:ascii="Times New Roman" w:hAnsi="Times New Roman"/>
              </w:rPr>
              <w:t xml:space="preserve"> Добрынинский Евгений Юрьевич</w:t>
            </w:r>
          </w:p>
          <w:p w:rsidR="00B33894" w:rsidRPr="0023714A" w:rsidRDefault="00B33894" w:rsidP="00C3384C">
            <w:pPr>
              <w:rPr>
                <w:rFonts w:ascii="Times New Roman" w:hAnsi="Times New Roman"/>
              </w:rPr>
            </w:pPr>
          </w:p>
        </w:tc>
      </w:tr>
      <w:tr w:rsidR="00B33894" w:rsidRPr="0056192F" w:rsidTr="00C3384C">
        <w:tc>
          <w:tcPr>
            <w:tcW w:w="7179" w:type="dxa"/>
          </w:tcPr>
          <w:p w:rsidR="00B33894" w:rsidRPr="0056192F" w:rsidRDefault="00B33894" w:rsidP="00C3384C">
            <w:pPr>
              <w:rPr>
                <w:rFonts w:ascii="Times New Roman" w:hAnsi="Times New Roman"/>
              </w:rPr>
            </w:pPr>
            <w:r w:rsidRPr="0056192F">
              <w:rPr>
                <w:rFonts w:ascii="Times New Roman" w:hAnsi="Times New Roman"/>
              </w:rPr>
              <w:t>Данные надзорного органа сетевой организации</w:t>
            </w:r>
          </w:p>
        </w:tc>
        <w:tc>
          <w:tcPr>
            <w:tcW w:w="7138" w:type="dxa"/>
          </w:tcPr>
          <w:p w:rsidR="00B33894" w:rsidRPr="0056192F" w:rsidRDefault="00B33894" w:rsidP="00C3384C">
            <w:pPr>
              <w:rPr>
                <w:rFonts w:ascii="Times New Roman" w:hAnsi="Times New Roman"/>
              </w:rPr>
            </w:pPr>
            <w:r w:rsidRPr="0056192F">
              <w:rPr>
                <w:rFonts w:ascii="Times New Roman" w:hAnsi="Times New Roman"/>
              </w:rPr>
              <w:t>Управление  Федеральной антимонопольной службы по Архангельской области</w:t>
            </w:r>
          </w:p>
          <w:p w:rsidR="00B33894" w:rsidRPr="0056192F" w:rsidRDefault="00B33894" w:rsidP="00C3384C">
            <w:pPr>
              <w:rPr>
                <w:rFonts w:ascii="Times New Roman" w:hAnsi="Times New Roman"/>
              </w:rPr>
            </w:pPr>
            <w:r w:rsidRPr="0056192F">
              <w:rPr>
                <w:rFonts w:ascii="Times New Roman" w:hAnsi="Times New Roman"/>
              </w:rPr>
              <w:t xml:space="preserve">163000    Архангельская  область, </w:t>
            </w:r>
            <w:proofErr w:type="gramStart"/>
            <w:r w:rsidRPr="0056192F">
              <w:rPr>
                <w:rFonts w:ascii="Times New Roman" w:hAnsi="Times New Roman"/>
              </w:rPr>
              <w:t>г</w:t>
            </w:r>
            <w:proofErr w:type="gramEnd"/>
            <w:r w:rsidRPr="0056192F">
              <w:rPr>
                <w:rFonts w:ascii="Times New Roman" w:hAnsi="Times New Roman"/>
              </w:rPr>
              <w:t>. Архангельск ул. К. Либкнехта, д.  2</w:t>
            </w:r>
          </w:p>
          <w:p w:rsidR="00B33894" w:rsidRPr="0056192F" w:rsidRDefault="00B33894" w:rsidP="00C3384C">
            <w:pPr>
              <w:rPr>
                <w:rFonts w:ascii="Times New Roman" w:hAnsi="Times New Roman"/>
              </w:rPr>
            </w:pPr>
            <w:r w:rsidRPr="0056192F">
              <w:rPr>
                <w:rFonts w:ascii="Times New Roman" w:hAnsi="Times New Roman"/>
              </w:rPr>
              <w:t xml:space="preserve">(8182)     20-73-21   ф. 21-54-45 to29@fas.gov.ru       </w:t>
            </w:r>
          </w:p>
          <w:p w:rsidR="00B33894" w:rsidRPr="0056192F" w:rsidRDefault="00B33894" w:rsidP="00C3384C">
            <w:pPr>
              <w:rPr>
                <w:rFonts w:ascii="Times New Roman" w:hAnsi="Times New Roman"/>
              </w:rPr>
            </w:pPr>
          </w:p>
        </w:tc>
      </w:tr>
    </w:tbl>
    <w:p w:rsidR="00CA6E6B" w:rsidRDefault="00CA6E6B"/>
    <w:sectPr w:rsidR="00CA6E6B" w:rsidSect="00B3389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33894"/>
    <w:rsid w:val="00190096"/>
    <w:rsid w:val="00697986"/>
    <w:rsid w:val="0073771D"/>
    <w:rsid w:val="007603E7"/>
    <w:rsid w:val="007D3E4F"/>
    <w:rsid w:val="00B33894"/>
    <w:rsid w:val="00CA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894"/>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3389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FD69CED64B45825002E4ECEBB053463578E5BD3A6872181E37AA7E46429315271DEB1323E0B10B4J4P1J" TargetMode="External"/><Relationship Id="rId4" Type="http://schemas.openxmlformats.org/officeDocument/2006/relationships/hyperlink" Target="consultantplus://offline/ref=EF8E909426F8E5DB08277BB3DC1372E842E401BD7D06376870D28367AC9AEDF21B14DD3617DC20B010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5</cp:revision>
  <dcterms:created xsi:type="dcterms:W3CDTF">2015-01-30T05:14:00Z</dcterms:created>
  <dcterms:modified xsi:type="dcterms:W3CDTF">2019-05-28T08:27:00Z</dcterms:modified>
</cp:coreProperties>
</file>