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73" w:rsidRDefault="005A2573" w:rsidP="005A257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Тарифы на услуги по передаче электрической энергии 2020 год</w:t>
      </w:r>
    </w:p>
    <w:p w:rsidR="005A2573" w:rsidRDefault="005A2573" w:rsidP="005A2573">
      <w:pPr>
        <w:spacing w:after="0"/>
        <w:jc w:val="center"/>
        <w:rPr>
          <w:rFonts w:ascii="Times New Roman" w:hAnsi="Times New Roman" w:cs="Times New Roman"/>
          <w:b/>
        </w:rPr>
      </w:pPr>
    </w:p>
    <w:p w:rsidR="005A2573" w:rsidRDefault="005A2573" w:rsidP="005A2573">
      <w:pPr>
        <w:pStyle w:val="ConsPlusNormal"/>
        <w:jc w:val="both"/>
      </w:pPr>
    </w:p>
    <w:p w:rsidR="005A2573" w:rsidRDefault="005A2573" w:rsidP="005A2573">
      <w:pPr>
        <w:pStyle w:val="ConsPlusNormal"/>
        <w:ind w:left="540"/>
        <w:jc w:val="both"/>
      </w:pPr>
      <w:r>
        <w:t xml:space="preserve"> Постановлением Агентства по тарифам и ценам Архангельской области от  27.12.2019г. N 88-э/26</w:t>
      </w:r>
      <w:proofErr w:type="gramStart"/>
      <w:r>
        <w:t xml:space="preserve"> С</w:t>
      </w:r>
      <w:proofErr w:type="gramEnd"/>
      <w:r>
        <w:t xml:space="preserve"> 01.01.2020 г. по 30.06.2020 г. были установлены индивидуальные тарифы на услуги по передаче электрической энергии для взаиморасчетов между МП «Горэлектросеть» МО «Няндомское» и Филиал ПАО «МРСК Северо-Запада» «</w:t>
      </w:r>
      <w:proofErr w:type="spellStart"/>
      <w:r>
        <w:t>Архэнерго</w:t>
      </w:r>
      <w:proofErr w:type="spellEnd"/>
      <w:r>
        <w:t xml:space="preserve">» </w:t>
      </w:r>
      <w:proofErr w:type="spellStart"/>
      <w:r>
        <w:t>двухставочный</w:t>
      </w:r>
      <w:proofErr w:type="spellEnd"/>
      <w:r>
        <w:t xml:space="preserve"> тариф: ставка за содержание электрических сетей- </w:t>
      </w:r>
      <w:r>
        <w:rPr>
          <w:sz w:val="24"/>
          <w:szCs w:val="24"/>
        </w:rPr>
        <w:t xml:space="preserve">324782,95 </w:t>
      </w:r>
      <w:r>
        <w:t>руб./</w:t>
      </w:r>
      <w:r w:rsidR="00962D61">
        <w:t>М</w:t>
      </w:r>
      <w:r>
        <w:t>Вт месяц и ставка на оплату технологического расхода (потерь)- 0,00000 руб./</w:t>
      </w:r>
      <w:proofErr w:type="spellStart"/>
      <w:r w:rsidR="00962D61">
        <w:t>М</w:t>
      </w:r>
      <w:r>
        <w:t>Вт</w:t>
      </w:r>
      <w:proofErr w:type="gramStart"/>
      <w:r>
        <w:t>.ч</w:t>
      </w:r>
      <w:proofErr w:type="spellEnd"/>
      <w:proofErr w:type="gramEnd"/>
      <w:r>
        <w:t xml:space="preserve">.; </w:t>
      </w:r>
      <w:proofErr w:type="spellStart"/>
      <w:r>
        <w:t>одноставочный</w:t>
      </w:r>
      <w:proofErr w:type="spellEnd"/>
      <w:r>
        <w:t xml:space="preserve"> тариф </w:t>
      </w:r>
      <w:r>
        <w:rPr>
          <w:sz w:val="24"/>
          <w:szCs w:val="24"/>
        </w:rPr>
        <w:t xml:space="preserve">0,46812 </w:t>
      </w:r>
      <w:r>
        <w:t>руб./</w:t>
      </w:r>
      <w:proofErr w:type="spellStart"/>
      <w:r>
        <w:t>кВт.ч</w:t>
      </w:r>
      <w:proofErr w:type="spellEnd"/>
      <w:r>
        <w:t>.</w:t>
      </w:r>
    </w:p>
    <w:p w:rsidR="005A2573" w:rsidRDefault="005A2573" w:rsidP="005A2573">
      <w:pPr>
        <w:pStyle w:val="ConsPlusNormal"/>
        <w:ind w:left="540"/>
        <w:jc w:val="both"/>
      </w:pPr>
      <w:r>
        <w:t>С 01.07.2020 по 31.12.2020 г. были установлены индивидуальные тарифы на услуги по передаче электрической энергии для взаиморасчетов между МП «Горэлектросеть» МО «Няндомское» и Филиал ПАО «МРСК Северо-Запада» «</w:t>
      </w:r>
      <w:proofErr w:type="spellStart"/>
      <w:r>
        <w:t>Архэнерго</w:t>
      </w:r>
      <w:proofErr w:type="spellEnd"/>
      <w:r>
        <w:t xml:space="preserve">» </w:t>
      </w:r>
      <w:proofErr w:type="spellStart"/>
      <w:r>
        <w:t>двухставочный</w:t>
      </w:r>
      <w:proofErr w:type="spellEnd"/>
      <w:r>
        <w:t xml:space="preserve"> тариф: ставка за содержание электрических сетей-422473,36</w:t>
      </w:r>
      <w:r>
        <w:rPr>
          <w:sz w:val="24"/>
          <w:szCs w:val="24"/>
        </w:rPr>
        <w:t xml:space="preserve"> </w:t>
      </w:r>
      <w:r>
        <w:t>руб./</w:t>
      </w:r>
      <w:r w:rsidR="00962D61">
        <w:t>М</w:t>
      </w:r>
      <w:r>
        <w:t>Вт месяц и ставка на оплату технологического расхода (потерь)- 0,00000 руб./</w:t>
      </w:r>
      <w:proofErr w:type="spellStart"/>
      <w:r w:rsidR="00962D61">
        <w:t>М</w:t>
      </w:r>
      <w:r>
        <w:t>Вт</w:t>
      </w:r>
      <w:proofErr w:type="gramStart"/>
      <w:r>
        <w:t>.ч</w:t>
      </w:r>
      <w:proofErr w:type="spellEnd"/>
      <w:proofErr w:type="gramEnd"/>
      <w:r>
        <w:t xml:space="preserve">.; </w:t>
      </w:r>
      <w:proofErr w:type="spellStart"/>
      <w:r>
        <w:t>одноставочный</w:t>
      </w:r>
      <w:proofErr w:type="spellEnd"/>
      <w:r>
        <w:t xml:space="preserve"> тариф </w:t>
      </w:r>
      <w:r>
        <w:rPr>
          <w:sz w:val="24"/>
          <w:szCs w:val="24"/>
        </w:rPr>
        <w:t>0,</w:t>
      </w:r>
      <w:r w:rsidR="00541FA3">
        <w:rPr>
          <w:sz w:val="24"/>
          <w:szCs w:val="24"/>
        </w:rPr>
        <w:t>59082</w:t>
      </w:r>
      <w:r>
        <w:rPr>
          <w:sz w:val="24"/>
          <w:szCs w:val="24"/>
        </w:rPr>
        <w:t xml:space="preserve"> </w:t>
      </w:r>
      <w:r>
        <w:t>руб./</w:t>
      </w:r>
      <w:proofErr w:type="spellStart"/>
      <w:r>
        <w:t>кВт.ч</w:t>
      </w:r>
      <w:proofErr w:type="spellEnd"/>
      <w:r>
        <w:t>.</w:t>
      </w:r>
    </w:p>
    <w:p w:rsidR="005A2573" w:rsidRDefault="005A2573" w:rsidP="005A2573">
      <w:pPr>
        <w:pStyle w:val="ConsPlusNormal"/>
        <w:ind w:left="540"/>
        <w:jc w:val="both"/>
      </w:pPr>
    </w:p>
    <w:p w:rsidR="005A2573" w:rsidRDefault="005A2573" w:rsidP="005A2573">
      <w:pPr>
        <w:pStyle w:val="ConsPlusNormal"/>
      </w:pPr>
      <w:r>
        <w:t>Источник публикации</w:t>
      </w:r>
    </w:p>
    <w:p w:rsidR="00541FA3" w:rsidRDefault="00541FA3" w:rsidP="005A2573">
      <w:pPr>
        <w:spacing w:after="0"/>
        <w:ind w:left="-426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       опубликовано на "Официальном </w:t>
      </w:r>
      <w:proofErr w:type="spellStart"/>
      <w:proofErr w:type="gramStart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интернет-портале</w:t>
      </w:r>
      <w:proofErr w:type="spellEnd"/>
      <w:proofErr w:type="gramEnd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правовой информации" (</w:t>
      </w:r>
      <w:hyperlink r:id="rId4" w:tgtFrame="_blank" w:history="1">
        <w:r>
          <w:rPr>
            <w:rStyle w:val="a5"/>
            <w:rFonts w:ascii="PT Serif" w:hAnsi="PT Serif"/>
            <w:color w:val="551A8B"/>
            <w:sz w:val="23"/>
            <w:szCs w:val="23"/>
            <w:shd w:val="clear" w:color="auto" w:fill="FFFFFF"/>
          </w:rPr>
          <w:t>www.pravo.gov.ru</w:t>
        </w:r>
      </w:hyperlink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) 31 декабря 2019 г.</w:t>
      </w:r>
    </w:p>
    <w:p w:rsidR="005A2573" w:rsidRDefault="005A2573" w:rsidP="005A2573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5A2573" w:rsidRDefault="005A2573" w:rsidP="005A25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Постановлением Агентства по тарифам и ценам Архангельской области от </w:t>
      </w:r>
      <w:r w:rsidR="00947546">
        <w:rPr>
          <w:rFonts w:ascii="Times New Roman" w:hAnsi="Times New Roman" w:cs="Times New Roman"/>
        </w:rPr>
        <w:t>27.12.</w:t>
      </w:r>
      <w:r>
        <w:rPr>
          <w:rFonts w:ascii="Times New Roman" w:hAnsi="Times New Roman" w:cs="Times New Roman"/>
        </w:rPr>
        <w:t>20</w:t>
      </w:r>
      <w:r w:rsidR="0094754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N 8</w:t>
      </w:r>
      <w:r w:rsidR="0094754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-э/</w:t>
      </w:r>
      <w:r w:rsidR="00947546">
        <w:rPr>
          <w:rFonts w:ascii="Times New Roman" w:hAnsi="Times New Roman" w:cs="Times New Roman"/>
        </w:rPr>
        <w:t>23</w:t>
      </w:r>
    </w:p>
    <w:p w:rsidR="005A2573" w:rsidRDefault="005A2573" w:rsidP="005A2573">
      <w:pPr>
        <w:pStyle w:val="ConsPlusNormal"/>
        <w:ind w:left="540"/>
        <w:jc w:val="both"/>
      </w:pPr>
      <w:r>
        <w:t>"Об установлении цен (тарифов) для сетевых организаций, покупающих электрическую энергию у гарантирующего поставщика электрической энерг</w:t>
      </w:r>
      <w:proofErr w:type="gramStart"/>
      <w:r>
        <w:t>ии ООО</w:t>
      </w:r>
      <w:proofErr w:type="gramEnd"/>
      <w:r>
        <w:t xml:space="preserve"> «ТГК-2 </w:t>
      </w:r>
      <w:proofErr w:type="spellStart"/>
      <w:r>
        <w:t>Энергосбыт</w:t>
      </w:r>
      <w:proofErr w:type="spellEnd"/>
      <w:r>
        <w:t>»  для компенсации потерь электрической энергии"</w:t>
      </w:r>
    </w:p>
    <w:tbl>
      <w:tblPr>
        <w:tblW w:w="14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"/>
        <w:gridCol w:w="9024"/>
        <w:gridCol w:w="1921"/>
        <w:gridCol w:w="1549"/>
        <w:gridCol w:w="1549"/>
      </w:tblGrid>
      <w:tr w:rsidR="0092697B" w:rsidTr="0092697B"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B" w:rsidRDefault="00947546" w:rsidP="00D15388">
            <w:pPr>
              <w:pStyle w:val="ConsPlusNormal"/>
              <w:jc w:val="center"/>
            </w:pPr>
            <w:r w:rsidRPr="00947546">
              <w:rPr>
                <w:rFonts w:ascii="PT Serif" w:eastAsia="Times New Roman" w:hAnsi="PT Serif"/>
                <w:color w:val="22272F"/>
                <w:sz w:val="23"/>
                <w:szCs w:val="23"/>
              </w:rPr>
              <w:t> </w:t>
            </w:r>
            <w:r w:rsidR="0092697B">
              <w:t xml:space="preserve">N </w:t>
            </w:r>
            <w:proofErr w:type="spellStart"/>
            <w:proofErr w:type="gramStart"/>
            <w:r w:rsidR="0092697B">
              <w:t>п</w:t>
            </w:r>
            <w:proofErr w:type="spellEnd"/>
            <w:proofErr w:type="gramEnd"/>
            <w:r w:rsidR="0092697B">
              <w:t>/</w:t>
            </w:r>
            <w:proofErr w:type="spellStart"/>
            <w:r w:rsidR="0092697B">
              <w:t>п</w:t>
            </w:r>
            <w:proofErr w:type="spellEnd"/>
          </w:p>
        </w:tc>
        <w:tc>
          <w:tcPr>
            <w:tcW w:w="9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92697B" w:rsidTr="0092697B"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both"/>
            </w:pPr>
          </w:p>
        </w:tc>
        <w:tc>
          <w:tcPr>
            <w:tcW w:w="9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both"/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92697B" w:rsidTr="0092697B"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5</w:t>
            </w:r>
          </w:p>
        </w:tc>
      </w:tr>
      <w:tr w:rsidR="0092697B" w:rsidTr="0092697B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</w:pPr>
          </w:p>
        </w:tc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</w:pPr>
            <w:r>
              <w:t>Тариф для сетевых организаций, покупающих электрическую энергию для компенсации потерь электрической энергии (тарифы указаны без НДС)</w:t>
            </w:r>
          </w:p>
        </w:tc>
      </w:tr>
      <w:tr w:rsidR="0092697B" w:rsidTr="0092697B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</w:pPr>
            <w:r>
              <w:t>Конечная регулируемая цена</w:t>
            </w:r>
            <w:proofErr w:type="gramStart"/>
            <w:r>
              <w:t xml:space="preserve"> (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514350" cy="2286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</w:tr>
      <w:tr w:rsidR="0092697B" w:rsidTr="0092697B"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</w:pPr>
            <w:r>
              <w:t xml:space="preserve">В отношении величин </w:t>
            </w:r>
            <w:proofErr w:type="spellStart"/>
            <w:r>
              <w:t>непревышения</w:t>
            </w:r>
            <w:proofErr w:type="spellEnd"/>
            <w:r>
              <w:t xml:space="preserve"> фактических объемов потерь электрической энергии над объемами потерь, учтенными в сводном прогнозном балансе за соответствующий расчетный период в отношении сетевой организации</w:t>
            </w:r>
          </w:p>
        </w:tc>
      </w:tr>
      <w:tr w:rsidR="0092697B" w:rsidTr="0092697B"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both"/>
            </w:pPr>
          </w:p>
        </w:tc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4124325" cy="24765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97B" w:rsidTr="0092697B"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both"/>
            </w:pP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14450" cy="2286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руб./МВт-ч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555,87</w:t>
            </w:r>
          </w:p>
        </w:tc>
      </w:tr>
      <w:tr w:rsidR="0092697B" w:rsidTr="0092697B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</w:pPr>
            <w:r>
              <w:t xml:space="preserve">В отношении </w:t>
            </w:r>
            <w:proofErr w:type="gramStart"/>
            <w:r>
              <w:t>величин превышения фактических объемов потерь электрической энергии</w:t>
            </w:r>
            <w:proofErr w:type="gramEnd"/>
            <w:r>
              <w:t xml:space="preserve"> над объемами потерь, учтенными в сводном прогнозном балансе за соответствующий расчетный период в отношении сетевой организации</w:t>
            </w:r>
          </w:p>
        </w:tc>
      </w:tr>
      <w:tr w:rsidR="0092697B" w:rsidTr="0092697B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</w:pPr>
          </w:p>
        </w:tc>
        <w:tc>
          <w:tcPr>
            <w:tcW w:w="1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3267075" cy="23812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97B" w:rsidTr="0092697B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</w:pP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466725" cy="2381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руб./МВт-ч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128,82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174,15</w:t>
            </w:r>
          </w:p>
        </w:tc>
      </w:tr>
      <w:tr w:rsidR="0092697B" w:rsidTr="0092697B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</w:pPr>
            <w:proofErr w:type="gramStart"/>
            <w:r>
              <w:t>Средневзвешенная стоимость электрической энергии (мощности), приобретаемой гарантирующим поставщиком на розничных рынках по регулируемым ценам (тарифам), приходящаяся на весь объем электрической энергии, поставляемой гарантирующим поставщиком в соответствии с утвержденным прогнозным балансом (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066800" cy="2667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руб./МВт-ч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9,29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B" w:rsidRDefault="0092697B" w:rsidP="00D15388">
            <w:pPr>
              <w:pStyle w:val="ConsPlusNormal"/>
              <w:jc w:val="center"/>
            </w:pPr>
            <w:r>
              <w:t>10,35</w:t>
            </w:r>
          </w:p>
        </w:tc>
      </w:tr>
    </w:tbl>
    <w:p w:rsidR="0092697B" w:rsidRDefault="0092697B" w:rsidP="0092697B">
      <w:pPr>
        <w:pStyle w:val="ConsPlusNormal"/>
        <w:ind w:firstLine="540"/>
        <w:jc w:val="both"/>
      </w:pPr>
      <w:r>
        <w:t>Примечания:</w:t>
      </w:r>
    </w:p>
    <w:p w:rsidR="0092697B" w:rsidRDefault="0092697B" w:rsidP="0092697B">
      <w:pPr>
        <w:pStyle w:val="ConsPlusNormal"/>
        <w:spacing w:before="24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628650" cy="24765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средневзвешенная регулируемая цена на электрическую энергию (мощность), используемая для расчета конечных регулируемых цен для первой ценовой категории за расчетный период (</w:t>
      </w:r>
      <w:proofErr w:type="spellStart"/>
      <w:r>
        <w:t>m</w:t>
      </w:r>
      <w:proofErr w:type="spellEnd"/>
      <w:r>
        <w:t xml:space="preserve">), рассчитываемая гарантирующим поставщиком по формуле, предусмотренной </w:t>
      </w:r>
      <w:hyperlink r:id="rId12" w:history="1">
        <w:r>
          <w:rPr>
            <w:color w:val="0000FF"/>
          </w:rPr>
          <w:t>пунктом 236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года N 442 (далее - Основные положения функционирования розничных рынков электрической энергии) (рублей/МВт</w:t>
      </w:r>
      <w:r>
        <w:rPr>
          <w:noProof/>
          <w:position w:val="-5"/>
        </w:rPr>
        <w:drawing>
          <wp:inline distT="0" distB="0" distL="0" distR="0">
            <wp:extent cx="47625" cy="219075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ч);</w:t>
      </w:r>
      <w:proofErr w:type="gramEnd"/>
    </w:p>
    <w:p w:rsidR="0092697B" w:rsidRDefault="0092697B" w:rsidP="0092697B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647700" cy="22860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на электрическую энергию (мощность), приобретаемую гарантирующим поставщиком на розничном рынке, значение которой определяется в отношении расчетного периода (</w:t>
      </w:r>
      <w:proofErr w:type="spellStart"/>
      <w:r>
        <w:t>m</w:t>
      </w:r>
      <w:proofErr w:type="spellEnd"/>
      <w:r>
        <w:t xml:space="preserve">) гарантирующим поставщиком по формуле, предусмотренной </w:t>
      </w:r>
      <w:hyperlink r:id="rId15" w:history="1">
        <w:r>
          <w:rPr>
            <w:color w:val="0000FF"/>
          </w:rPr>
          <w:t>пунктом 238</w:t>
        </w:r>
      </w:hyperlink>
      <w:r>
        <w:t xml:space="preserve"> Основных положений функционирования розничных рынков электрической энергии (рублей/МВт</w:t>
      </w:r>
      <w:r>
        <w:rPr>
          <w:noProof/>
          <w:position w:val="-5"/>
        </w:rPr>
        <w:drawing>
          <wp:inline distT="0" distB="0" distL="0" distR="0">
            <wp:extent cx="47625" cy="219075"/>
            <wp:effectExtent l="1905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ч);</w:t>
      </w:r>
    </w:p>
    <w:p w:rsidR="0092697B" w:rsidRDefault="0092697B" w:rsidP="0092697B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95275" cy="219075"/>
            <wp:effectExtent l="1905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плата за иные услуги, оказание которых является неотъемлемой частью процесса поставки электрической энергии потребителям, которая рассчитывается организацией коммерческой инфраструктуры оптового рынка в отношении расчетного периода (</w:t>
      </w:r>
      <w:proofErr w:type="spellStart"/>
      <w:r>
        <w:t>m</w:t>
      </w:r>
      <w:proofErr w:type="spellEnd"/>
      <w:r>
        <w:t xml:space="preserve">) для гарантирующего поставщика по формуле, предусмотренной </w:t>
      </w:r>
      <w:hyperlink r:id="rId17" w:history="1">
        <w:r>
          <w:rPr>
            <w:color w:val="0000FF"/>
          </w:rPr>
          <w:t>пунктом 248</w:t>
        </w:r>
      </w:hyperlink>
      <w:r>
        <w:t xml:space="preserve"> Основных положений функционирования розничных рынков электрической энергии (рублей/МВт</w:t>
      </w:r>
      <w:r>
        <w:rPr>
          <w:noProof/>
          <w:position w:val="-5"/>
        </w:rPr>
        <w:drawing>
          <wp:inline distT="0" distB="0" distL="0" distR="0">
            <wp:extent cx="47625" cy="219075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ч);</w:t>
      </w:r>
    </w:p>
    <w:p w:rsidR="0092697B" w:rsidRDefault="0092697B" w:rsidP="0092697B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1409700" cy="23812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сбытовая надбавка гарантирующего поставщика, установленная в отношении сетевых организаций (рублей/МВт</w:t>
      </w:r>
      <w:r>
        <w:rPr>
          <w:noProof/>
          <w:position w:val="-5"/>
        </w:rPr>
        <w:drawing>
          <wp:inline distT="0" distB="0" distL="0" distR="0">
            <wp:extent cx="47625" cy="219075"/>
            <wp:effectExtent l="1905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ч);</w:t>
      </w:r>
    </w:p>
    <w:p w:rsidR="0092697B" w:rsidRDefault="0092697B" w:rsidP="0092697B">
      <w:pPr>
        <w:pStyle w:val="ConsPlusNormal"/>
        <w:spacing w:before="24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04825" cy="266700"/>
            <wp:effectExtent l="1905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сбытовая надбавка гарантирующего поставщика, учитываемая в стоимости электрической энергии (мощности) и определяемая в отношении расчетного периода (</w:t>
      </w:r>
      <w:proofErr w:type="spellStart"/>
      <w:r>
        <w:t>m</w:t>
      </w:r>
      <w:proofErr w:type="spellEnd"/>
      <w:r>
        <w:t>) для первой ценовой категории и подгруппы потребителей с максимальной мощностью энергопринимающих устройств от 670 кВт до 10 МВт.</w:t>
      </w:r>
    </w:p>
    <w:p w:rsidR="00947546" w:rsidRPr="00947546" w:rsidRDefault="00947546" w:rsidP="00947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947546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опубликовано на "Официальном </w:t>
      </w:r>
      <w:proofErr w:type="spellStart"/>
      <w:proofErr w:type="gramStart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интернет-портале</w:t>
      </w:r>
      <w:proofErr w:type="spellEnd"/>
      <w:proofErr w:type="gramEnd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правовой информации" (</w:t>
      </w:r>
      <w:hyperlink r:id="rId20" w:tgtFrame="_blank" w:history="1">
        <w:r>
          <w:rPr>
            <w:rStyle w:val="a5"/>
            <w:rFonts w:ascii="PT Serif" w:hAnsi="PT Serif"/>
            <w:color w:val="551A8B"/>
            <w:sz w:val="23"/>
            <w:szCs w:val="23"/>
            <w:shd w:val="clear" w:color="auto" w:fill="FFFFFF"/>
          </w:rPr>
          <w:t>www.pravo.gov.ru</w:t>
        </w:r>
      </w:hyperlink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) 31 декабря 2019 г.</w:t>
      </w:r>
    </w:p>
    <w:p w:rsidR="00947546" w:rsidRDefault="00947546" w:rsidP="005A2573">
      <w:pPr>
        <w:pStyle w:val="ConsPlusNormal"/>
        <w:ind w:left="540"/>
        <w:jc w:val="both"/>
      </w:pPr>
    </w:p>
    <w:p w:rsidR="00947546" w:rsidRDefault="00947546" w:rsidP="005A2573">
      <w:pPr>
        <w:pStyle w:val="ConsPlusNormal"/>
        <w:ind w:left="540"/>
        <w:jc w:val="both"/>
      </w:pPr>
    </w:p>
    <w:p w:rsidR="005A2573" w:rsidRDefault="005A2573" w:rsidP="005A25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A2573" w:rsidRDefault="005A2573" w:rsidP="005A2573">
      <w:pPr>
        <w:pStyle w:val="ConsPlusNormal"/>
        <w:ind w:left="540"/>
        <w:jc w:val="both"/>
      </w:pPr>
      <w:r>
        <w:t xml:space="preserve">Постановлением Агентства по тарифам и ценам Архангельской области  от  </w:t>
      </w:r>
      <w:r w:rsidR="00947546">
        <w:t>27.12.2019</w:t>
      </w:r>
      <w:r>
        <w:t xml:space="preserve"> № 8</w:t>
      </w:r>
      <w:r w:rsidR="00947546">
        <w:t>8</w:t>
      </w:r>
      <w:r>
        <w:t>-э/2</w:t>
      </w:r>
      <w:r w:rsidR="00947546">
        <w:t>5</w:t>
      </w:r>
    </w:p>
    <w:p w:rsidR="005A2573" w:rsidRDefault="005A2573" w:rsidP="005A2573">
      <w:pPr>
        <w:pStyle w:val="ConsPlusNormal"/>
        <w:ind w:left="-426"/>
        <w:jc w:val="both"/>
      </w:pPr>
      <w:r>
        <w:t>установлены единые (котловые) тарифы по передаче электрической энергии по сетям Архангельской области на 20</w:t>
      </w:r>
      <w:r w:rsidR="00947546">
        <w:t>20</w:t>
      </w:r>
      <w:r>
        <w:t xml:space="preserve"> год </w:t>
      </w:r>
    </w:p>
    <w:p w:rsidR="005A2573" w:rsidRDefault="005A2573" w:rsidP="005A2573">
      <w:pPr>
        <w:pStyle w:val="ConsPlusNormal"/>
        <w:ind w:left="-426"/>
        <w:jc w:val="both"/>
      </w:pPr>
      <w:r>
        <w:lastRenderedPageBreak/>
        <w:t>с 01.01.20</w:t>
      </w:r>
      <w:r w:rsidR="00947546">
        <w:t>20</w:t>
      </w:r>
      <w:r>
        <w:t xml:space="preserve"> по 30.06.20</w:t>
      </w:r>
      <w:r w:rsidR="00947546">
        <w:t>20</w:t>
      </w:r>
      <w:r>
        <w:t xml:space="preserve">: тарифная группа население </w:t>
      </w:r>
      <w:proofErr w:type="spellStart"/>
      <w:r>
        <w:t>одноставочный</w:t>
      </w:r>
      <w:proofErr w:type="spellEnd"/>
      <w:r>
        <w:t xml:space="preserve"> тариф- </w:t>
      </w:r>
      <w:r w:rsidR="00947546">
        <w:rPr>
          <w:rFonts w:ascii="PT Serif" w:hAnsi="PT Serif"/>
          <w:color w:val="22272F"/>
          <w:sz w:val="23"/>
          <w:szCs w:val="23"/>
          <w:shd w:val="clear" w:color="auto" w:fill="FFFFFF"/>
        </w:rPr>
        <w:t>0,92986</w:t>
      </w:r>
      <w:r>
        <w:t>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., тарифная группа «Прочие потребители» </w:t>
      </w:r>
      <w:proofErr w:type="spellStart"/>
      <w:r>
        <w:t>одноставочный</w:t>
      </w:r>
      <w:proofErr w:type="spellEnd"/>
      <w:r>
        <w:t xml:space="preserve"> тариф по диапазону напряжения СН </w:t>
      </w:r>
      <w:r>
        <w:rPr>
          <w:lang w:val="en-US"/>
        </w:rPr>
        <w:t>II</w:t>
      </w:r>
      <w:r w:rsidRPr="005A2573">
        <w:t xml:space="preserve"> </w:t>
      </w:r>
      <w:r w:rsidR="00947546">
        <w:rPr>
          <w:rFonts w:ascii="PT Serif" w:hAnsi="PT Serif"/>
          <w:color w:val="22272F"/>
          <w:shd w:val="clear" w:color="auto" w:fill="FFFFFF"/>
        </w:rPr>
        <w:t>3,33000</w:t>
      </w:r>
      <w:r>
        <w:t>руб./</w:t>
      </w:r>
      <w:proofErr w:type="spellStart"/>
      <w:r>
        <w:t>кВт.ч</w:t>
      </w:r>
      <w:proofErr w:type="spellEnd"/>
      <w:r>
        <w:t xml:space="preserve">., по диапазону напряжения НН </w:t>
      </w:r>
      <w:r w:rsidR="00947546">
        <w:rPr>
          <w:rFonts w:ascii="PT Serif" w:hAnsi="PT Serif"/>
          <w:color w:val="22272F"/>
          <w:shd w:val="clear" w:color="auto" w:fill="FFFFFF"/>
        </w:rPr>
        <w:t>4,21000</w:t>
      </w:r>
      <w:r>
        <w:t>руб./</w:t>
      </w:r>
      <w:proofErr w:type="spellStart"/>
      <w:r>
        <w:t>кВт.ч</w:t>
      </w:r>
      <w:proofErr w:type="spellEnd"/>
      <w:r>
        <w:t>.</w:t>
      </w:r>
    </w:p>
    <w:p w:rsidR="005A2573" w:rsidRDefault="005A2573" w:rsidP="005A2573">
      <w:pPr>
        <w:pStyle w:val="ConsPlusNormal"/>
        <w:ind w:left="-426"/>
        <w:jc w:val="both"/>
      </w:pPr>
      <w:r>
        <w:t>с 01.0</w:t>
      </w:r>
      <w:r w:rsidR="00E87273">
        <w:t>7</w:t>
      </w:r>
      <w:r>
        <w:t>.20</w:t>
      </w:r>
      <w:r w:rsidR="00947546">
        <w:t>20</w:t>
      </w:r>
      <w:r>
        <w:t xml:space="preserve"> по 31.12.20</w:t>
      </w:r>
      <w:r w:rsidR="00947546">
        <w:t>20</w:t>
      </w:r>
      <w:r>
        <w:t xml:space="preserve">г. тарифная группа население </w:t>
      </w:r>
      <w:proofErr w:type="spellStart"/>
      <w:r>
        <w:t>одноставочный</w:t>
      </w:r>
      <w:proofErr w:type="spellEnd"/>
      <w:r>
        <w:t xml:space="preserve"> тариф- </w:t>
      </w:r>
      <w:r w:rsidR="00947546">
        <w:rPr>
          <w:rFonts w:ascii="PT Serif" w:hAnsi="PT Serif"/>
          <w:color w:val="22272F"/>
          <w:sz w:val="23"/>
          <w:szCs w:val="23"/>
          <w:shd w:val="clear" w:color="auto" w:fill="FFFFFF"/>
        </w:rPr>
        <w:t>0,95000</w:t>
      </w:r>
      <w:r>
        <w:t>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., тарифная группа «Прочие потребители» </w:t>
      </w:r>
      <w:proofErr w:type="spellStart"/>
      <w:r>
        <w:t>одноставочный</w:t>
      </w:r>
      <w:proofErr w:type="spellEnd"/>
      <w:r>
        <w:t xml:space="preserve"> тариф по диапазону напряжения СН </w:t>
      </w:r>
      <w:r>
        <w:rPr>
          <w:lang w:val="en-US"/>
        </w:rPr>
        <w:t>II</w:t>
      </w:r>
      <w:r w:rsidRPr="005A2573">
        <w:t xml:space="preserve"> </w:t>
      </w:r>
      <w:r w:rsidR="00947546">
        <w:rPr>
          <w:rFonts w:ascii="PT Serif" w:hAnsi="PT Serif"/>
          <w:color w:val="22272F"/>
          <w:shd w:val="clear" w:color="auto" w:fill="FFFFFF"/>
        </w:rPr>
        <w:t>3,41541</w:t>
      </w:r>
      <w:r>
        <w:t>руб./</w:t>
      </w:r>
      <w:proofErr w:type="spellStart"/>
      <w:r>
        <w:t>кВт.ч</w:t>
      </w:r>
      <w:proofErr w:type="spellEnd"/>
      <w:r>
        <w:t xml:space="preserve">., по диапазону напряжения НН </w:t>
      </w:r>
      <w:r w:rsidR="00947546">
        <w:rPr>
          <w:rFonts w:ascii="PT Serif" w:hAnsi="PT Serif"/>
          <w:color w:val="22272F"/>
          <w:shd w:val="clear" w:color="auto" w:fill="FFFFFF"/>
        </w:rPr>
        <w:t>4,37582</w:t>
      </w:r>
      <w:r>
        <w:t>руб./</w:t>
      </w:r>
      <w:proofErr w:type="spellStart"/>
      <w:r>
        <w:t>кВт.ч</w:t>
      </w:r>
      <w:proofErr w:type="spellEnd"/>
      <w:r>
        <w:t>.</w:t>
      </w:r>
    </w:p>
    <w:p w:rsidR="005A2573" w:rsidRDefault="005A2573" w:rsidP="005A2573">
      <w:pPr>
        <w:pStyle w:val="ConsPlusNormal"/>
        <w:ind w:left="-426"/>
        <w:jc w:val="both"/>
      </w:pPr>
    </w:p>
    <w:p w:rsidR="005A2573" w:rsidRDefault="00947546" w:rsidP="005A2573">
      <w:pPr>
        <w:pStyle w:val="ConsPlusNormal"/>
        <w:ind w:left="540"/>
        <w:jc w:val="both"/>
        <w:rPr>
          <w:b/>
        </w:rPr>
      </w:pPr>
      <w:proofErr w:type="gramStart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опубликован на "Официальном </w:t>
      </w:r>
      <w:proofErr w:type="spellStart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интернет-портале</w:t>
      </w:r>
      <w:proofErr w:type="spellEnd"/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правовой информации" (</w:t>
      </w:r>
      <w:hyperlink r:id="rId21" w:tgtFrame="_blank" w:history="1">
        <w:r>
          <w:rPr>
            <w:rStyle w:val="a5"/>
            <w:rFonts w:ascii="PT Serif" w:hAnsi="PT Serif"/>
            <w:color w:val="551A8B"/>
            <w:sz w:val="23"/>
            <w:szCs w:val="23"/>
            <w:shd w:val="clear" w:color="auto" w:fill="FFFFFF"/>
          </w:rPr>
          <w:t>www.pravo.gov.ru</w:t>
        </w:r>
      </w:hyperlink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) 30 декабря 2019 г.</w:t>
      </w:r>
      <w:proofErr w:type="gramEnd"/>
    </w:p>
    <w:p w:rsidR="005A2573" w:rsidRDefault="005A2573" w:rsidP="005A2573">
      <w:pPr>
        <w:pStyle w:val="ConsPlusNormal"/>
        <w:ind w:left="540"/>
        <w:jc w:val="both"/>
        <w:rPr>
          <w:b/>
        </w:rPr>
      </w:pPr>
    </w:p>
    <w:p w:rsidR="005A2573" w:rsidRDefault="005A2573" w:rsidP="005A2573"/>
    <w:p w:rsidR="004B0D9F" w:rsidRDefault="004B0D9F"/>
    <w:sectPr w:rsidR="004B0D9F" w:rsidSect="005A257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573"/>
    <w:rsid w:val="004B0D9F"/>
    <w:rsid w:val="00541FA3"/>
    <w:rsid w:val="005A2573"/>
    <w:rsid w:val="008C36BA"/>
    <w:rsid w:val="0092697B"/>
    <w:rsid w:val="00947546"/>
    <w:rsid w:val="00962D61"/>
    <w:rsid w:val="00AB2F13"/>
    <w:rsid w:val="00E87273"/>
    <w:rsid w:val="00FC045B"/>
    <w:rsid w:val="00FD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5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73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41FA3"/>
    <w:rPr>
      <w:color w:val="0000FF"/>
      <w:u w:val="single"/>
    </w:rPr>
  </w:style>
  <w:style w:type="paragraph" w:customStyle="1" w:styleId="s1">
    <w:name w:val="s_1"/>
    <w:basedOn w:val="a"/>
    <w:rsid w:val="0094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94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4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47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login.consultant.ru/link/?req=doc&amp;base=RZR&amp;n=361401&amp;date=10.03.2021&amp;dst=327&amp;fld=134" TargetMode="External"/><Relationship Id="rId17" Type="http://schemas.openxmlformats.org/officeDocument/2006/relationships/hyperlink" Target="https://login.consultant.ru/link/?req=doc&amp;base=RZR&amp;n=361401&amp;date=10.03.2021&amp;dst=500&amp;fld=13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://www.pravo.gov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R&amp;n=361401&amp;date=10.03.2021&amp;dst=347&amp;fld=13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hyperlink" Target="http://www.pravo.gov.ru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5</cp:revision>
  <cp:lastPrinted>2021-03-10T08:06:00Z</cp:lastPrinted>
  <dcterms:created xsi:type="dcterms:W3CDTF">2020-12-29T11:00:00Z</dcterms:created>
  <dcterms:modified xsi:type="dcterms:W3CDTF">2021-03-30T12:23:00Z</dcterms:modified>
</cp:coreProperties>
</file>