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82-э/23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СТАНДАРТИЗИРОВАННЫХ ТАРИФНЫХ СТАВОК ПЛАТЫ,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СТАВОК ЗА ЕДИНИЦУ МАКСИМАЛЬНОЙ МОЩНОСТИ, ПЛАТЫ И ФОРМУЛЫ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ТЕХНОЛОГИЧЕСКОЕ ПРИСОЕДИНЕНИЕ К </w:t>
      </w:r>
      <w:proofErr w:type="gramStart"/>
      <w:r>
        <w:rPr>
          <w:rFonts w:ascii="Calibri" w:hAnsi="Calibri" w:cs="Calibri"/>
          <w:b/>
          <w:bCs/>
        </w:rPr>
        <w:t>ЭЛЕКТРИЧЕСКИМ</w:t>
      </w:r>
      <w:proofErr w:type="gramEnd"/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МП "ГОРЭЛЕКТРОСЕТЬ" МО "НЯНДОМСКОЕ"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Методическими </w:t>
      </w:r>
      <w:hyperlink r:id="rId5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11 сентября 2012 года N 209-э/1,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</w:t>
      </w:r>
      <w:proofErr w:type="gramEnd"/>
      <w:r>
        <w:rPr>
          <w:rFonts w:ascii="Calibri" w:hAnsi="Calibri" w:cs="Calibri"/>
        </w:rPr>
        <w:t xml:space="preserve"> 214-пп, агентство по тарифам и ценам Архангельской области постановляет: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9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технологическое присоединение к электрическим сетям МП "Горэлектросеть" МО "Няндомское"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мощностью до 15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согласно приложению N 1.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>
          <w:rPr>
            <w:rFonts w:ascii="Calibri" w:hAnsi="Calibri" w:cs="Calibri"/>
            <w:color w:val="0000FF"/>
          </w:rPr>
          <w:t>Плата</w:t>
        </w:r>
      </w:hyperlink>
      <w:r>
        <w:rPr>
          <w:rFonts w:ascii="Calibri" w:hAnsi="Calibri" w:cs="Calibri"/>
        </w:rPr>
        <w:t>, установленная в настоящем пункте, действует с 1 января 2014 года по 31 декабря 2014 года.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стандартизированные тарифные </w:t>
      </w:r>
      <w:hyperlink w:anchor="Par72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на покрытие расходов на выполнение организационных мероприятий, связанных с технологическим присоединением к электрическим сетям МП "Горэлектросеть" МО "Няндомское"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мощностью до 150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(с учетом ранее присоединенной мощности) на уровне напряжения ниже 20 кВ, согласно приложению N 2.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Стандартизированные тарифные </w:t>
      </w:r>
      <w:hyperlink w:anchor="Par72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>, установленные в настоящем пункте, действуют с 1 января 2014 года по 31 декабря 2014 года.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109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платы за единицу максимальной мощности при технологическом присоединении к электрическим сетям МП "Горэлектросеть" МО "Няндомское"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мощностью до 150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(с учетом ранее присоединенной мощности) на уровне напряжения ниже 20 кВ согласно приложению N 3.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9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платы, установленные в настоящем пункте, действуют с 1 января 2014 года по 31 декабря 2014 года.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</w:t>
      </w:r>
      <w:hyperlink w:anchor="Par147" w:history="1">
        <w:r>
          <w:rPr>
            <w:rFonts w:ascii="Calibri" w:hAnsi="Calibri" w:cs="Calibri"/>
            <w:color w:val="0000FF"/>
          </w:rPr>
          <w:t>формулу</w:t>
        </w:r>
      </w:hyperlink>
      <w:r>
        <w:rPr>
          <w:rFonts w:ascii="Calibri" w:hAnsi="Calibri" w:cs="Calibri"/>
        </w:rPr>
        <w:t xml:space="preserve"> расчета платы за технологическое присоединение к электрическим сетям МП "Горэлектросеть" МО "Няндомское"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мощностью до 150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 (с учетом ранее присоединенной мощности) на уровне напряжения ниже 20 кВ согласно приложению N 4.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7" w:history="1">
        <w:r>
          <w:rPr>
            <w:rFonts w:ascii="Calibri" w:hAnsi="Calibri" w:cs="Calibri"/>
            <w:color w:val="0000FF"/>
          </w:rPr>
          <w:t>Формула</w:t>
        </w:r>
      </w:hyperlink>
      <w:r>
        <w:rPr>
          <w:rFonts w:ascii="Calibri" w:hAnsi="Calibri" w:cs="Calibri"/>
        </w:rPr>
        <w:t xml:space="preserve"> расчета платы, установленная в настоящем пункте, действует с 1 января 2014 года по 31 декабря 2014 года.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Определить объем выпадающих доходов сетевой организации, который включается в тариф на оказание услуг по передаче электрической энергии на 2014 год, от присоединения заявителей, указанных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в размере 2 245,0 тыс. руб. (без НДС) исходя из размера экономически обоснованной платы 2 233,7 руб./кВт.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 с 1 января 2014 года следующие постановления департамента по тарифам и ценам Архангельской области: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 июля 2008 года </w:t>
      </w:r>
      <w:hyperlink r:id="rId7" w:history="1">
        <w:r>
          <w:rPr>
            <w:rFonts w:ascii="Calibri" w:hAnsi="Calibri" w:cs="Calibri"/>
            <w:color w:val="0000FF"/>
          </w:rPr>
          <w:t>N 30-э/6</w:t>
        </w:r>
      </w:hyperlink>
      <w:r>
        <w:rPr>
          <w:rFonts w:ascii="Calibri" w:hAnsi="Calibri" w:cs="Calibri"/>
        </w:rPr>
        <w:t xml:space="preserve"> "О плате за технологическое присоединение к электрическим сетям МП "Горэлектросеть" МО "</w:t>
      </w:r>
      <w:proofErr w:type="spellStart"/>
      <w:r>
        <w:rPr>
          <w:rFonts w:ascii="Calibri" w:hAnsi="Calibri" w:cs="Calibri"/>
        </w:rPr>
        <w:t>Няндомский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 марта 2009 года </w:t>
      </w:r>
      <w:hyperlink r:id="rId8" w:history="1">
        <w:r>
          <w:rPr>
            <w:rFonts w:ascii="Calibri" w:hAnsi="Calibri" w:cs="Calibri"/>
            <w:color w:val="0000FF"/>
          </w:rPr>
          <w:t>N 10-э/3</w:t>
        </w:r>
      </w:hyperlink>
      <w:r>
        <w:rPr>
          <w:rFonts w:ascii="Calibri" w:hAnsi="Calibri" w:cs="Calibri"/>
        </w:rPr>
        <w:t xml:space="preserve"> "О внесении изменения в постановление департамента по тарифам и ценам Архангельской области от 18 июля 2008 г. N 30-э/6".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82-э/23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D0701" w:rsidSect="00ED070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ПЛАТА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ТЕХНОЛОГИЧЕСКОЕ ПРИСОЕДИНЕНИЕ К ЭЛЕКТРИЧЕСКИМ СЕТЯМ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МП "ГОРЭЛЕКТРОСЕТЬ" МО "НЯНДОМСКОЕ" ЭНЕРГОПРИНИМАЮЩИХ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 МОЩНОСТЬЮ ДО 15 КВТ ВКЛЮЧИТЕЛЬНО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4195"/>
      </w:tblGrid>
      <w:tr w:rsidR="00ED0701">
        <w:trPr>
          <w:trHeight w:val="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заявителей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Плата, руб.</w:t>
            </w:r>
          </w:p>
        </w:tc>
      </w:tr>
      <w:tr w:rsidR="00ED0701">
        <w:trPr>
          <w:trHeight w:val="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Физические лица, в целях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мощностью 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одно присоединение</w:t>
            </w:r>
          </w:p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указана с учетом НДС)</w:t>
            </w:r>
          </w:p>
        </w:tc>
      </w:tr>
      <w:tr w:rsidR="00ED0701">
        <w:trPr>
          <w:trHeight w:val="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50"/>
            <w:bookmarkEnd w:id="4"/>
            <w:r>
              <w:rPr>
                <w:rFonts w:ascii="Calibri" w:hAnsi="Calibri" w:cs="Calibri"/>
              </w:rPr>
              <w:t>2. Юридические лица и индивидуальные предприниматели, с заявленной мощностью присоединения 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466,10</w:t>
            </w:r>
          </w:p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одно присоединение</w:t>
            </w:r>
          </w:p>
        </w:tc>
      </w:tr>
      <w:tr w:rsidR="00ED0701">
        <w:trPr>
          <w:trHeight w:val="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53"/>
            <w:bookmarkEnd w:id="5"/>
            <w:r>
              <w:rPr>
                <w:rFonts w:ascii="Calibri" w:hAnsi="Calibri" w:cs="Calibri"/>
              </w:rPr>
              <w:t>3. Некоммерческие организации, для поставки электрической энергии гражданам-членам этих организаций, рассчитывающимся по общему счетчику на вводе, с заявленной мощностью не более 15 кВт на каждого члена организации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466,10</w:t>
            </w:r>
          </w:p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члена организации</w:t>
            </w:r>
          </w:p>
        </w:tc>
      </w:tr>
    </w:tbl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D070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Плата,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указанной таблицы, облагается налогом на добавленную стоимость.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Плата установлена в отношении заявителей, подавших заявку 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при присоединении объектов, отнесенных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на уровне напряжения до 20 кВ включительно</w:t>
      </w:r>
      <w:proofErr w:type="gramEnd"/>
      <w:r>
        <w:rPr>
          <w:rFonts w:ascii="Calibri" w:hAnsi="Calibri" w:cs="Calibri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 Плата применяется с учетом ограничений, установленных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некоммерческим организациям, указанным в </w:t>
      </w:r>
      <w:hyperlink w:anchor="Par5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указанной таблицы, относятся садоводческие, огороднические, дачные некоммерческие объединения или иные некоммерческие объединения граждан (гаражно-строительные, гаражные кооперативы)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 содержащиеся за счет прихожан религиозные организации;</w:t>
      </w:r>
      <w:proofErr w:type="gramEnd"/>
      <w:r>
        <w:rPr>
          <w:rFonts w:ascii="Calibri" w:hAnsi="Calibri" w:cs="Calibri"/>
        </w:rPr>
        <w:t xml:space="preserve"> объединенные хозяйственные постройки граждан (гаражи, погреба, сараи и иные сооружения аналогичного назначения).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Приложение N 2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82-э/23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D070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2"/>
      <w:bookmarkEnd w:id="7"/>
      <w:r>
        <w:rPr>
          <w:rFonts w:ascii="Calibri" w:hAnsi="Calibri" w:cs="Calibri"/>
          <w:b/>
          <w:bCs/>
        </w:rPr>
        <w:t>СТАНДАРТИЗИРОВАННЫЕ ТАРИФНЫЕ СТАВКИ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ПОКРЫТИЕ </w:t>
      </w:r>
      <w:proofErr w:type="gramStart"/>
      <w:r>
        <w:rPr>
          <w:rFonts w:ascii="Calibri" w:hAnsi="Calibri" w:cs="Calibri"/>
          <w:b/>
          <w:bCs/>
        </w:rPr>
        <w:t>РАСХОДОВ</w:t>
      </w:r>
      <w:proofErr w:type="gramEnd"/>
      <w:r>
        <w:rPr>
          <w:rFonts w:ascii="Calibri" w:hAnsi="Calibri" w:cs="Calibri"/>
          <w:b/>
          <w:bCs/>
        </w:rPr>
        <w:t xml:space="preserve"> НА ВЫПОЛНЕНИЕ ОРГАНИЗАЦИОННЫХ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МЕРОПРИЯТИЙ, СВЯЗАННЫХ С ТЕХНОЛОГИЧЕСКИМ ПРИСОЕДИНЕНИЕМ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ЭЛЕКТРИЧЕСКИМ СЕТЯМ МП "ГОРЭЛЕКТРОСЕТЬ" МО "НЯНДОМСКОЕ"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ЭНЕРГОПРИНИМАЮЩИХ УСТРОЙСТВ МОЩНОСТЬЮ ДО 150 КВТ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ВКЛЮЧИТЕЛЬНО (С УЧЕТОМ РАНЕЕ ПРИСОЕДИНЕННОЙ МОЩНОСТИ)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УРОВНЕ НАПРЯЖЕНИЯ НИЖЕ 20 КВ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3061"/>
      </w:tblGrid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(С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>), руб./кВт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82"/>
            <w:bookmarkEnd w:id="8"/>
            <w:r>
              <w:rPr>
                <w:rFonts w:ascii="Calibri" w:hAnsi="Calibri" w:cs="Calibri"/>
              </w:rPr>
              <w:t>1. Подготовка и выдача сетевой организацией технических условий заявителю (ТУ)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Проверка сетевой организацией выполнения заявителем ТУ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 заявителя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88"/>
            <w:bookmarkEnd w:id="9"/>
            <w:r>
              <w:rPr>
                <w:rFonts w:ascii="Calibri" w:hAnsi="Calibri" w:cs="Calibri"/>
              </w:rPr>
              <w:t>4. 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</w:tbl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D070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Стандартизированные тарифные ставки, предусмотренные </w:t>
      </w:r>
      <w:hyperlink w:anchor="Par8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указанной таблицы, установлены без учета налога на добавленную стоимость в ценах периода регулирования для первой зоны (районы, приравненные к районам Крайнего Севера) Архангельской области.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второй зоны Архангельской области (районы Крайнего Севера) ставки применяются с увеличением дополнительно на индекс для второй зоны Архангельской области относительно первой в размере 1,19.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Принадлежность к первой или второй зоне определяется по месту выполнения производственной функции.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Стандартизированные тарифные ставки не распространяются на заявителей, подавших заявку 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при присоединении объектов, отнесенных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на уровне напряжения до 20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 учетом ограничений, установленных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принадлежащих сетевым организациям и иным лицам</w:t>
      </w:r>
      <w:proofErr w:type="gramEnd"/>
      <w:r>
        <w:rPr>
          <w:rFonts w:ascii="Calibri" w:hAnsi="Calibri" w:cs="Calibri"/>
        </w:rPr>
        <w:t xml:space="preserve">, к электрическим сетям,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27.12.2004 N 861.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Стандартизированные тарифные ставки (С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С3, С4), связанные со строительством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- от существующих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до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(мероприятия, связанные со строительством "последней мили") не устанавливаются.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технологическое присоединение требует выполнения мероприятий, связанных со строительством "последней мили", расчет размера платы за технологическое присоединение осуществляется 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Приложение N 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82-э/23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D070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09"/>
      <w:bookmarkEnd w:id="11"/>
      <w:r>
        <w:rPr>
          <w:rFonts w:ascii="Calibri" w:hAnsi="Calibri" w:cs="Calibri"/>
          <w:b/>
          <w:bCs/>
        </w:rPr>
        <w:t>СТАВКИ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 ЗА ЕДИНИЦУ МАКСИМАЛЬНОЙ МОЩНОСТИ ПРИ </w:t>
      </w:r>
      <w:proofErr w:type="gramStart"/>
      <w:r>
        <w:rPr>
          <w:rFonts w:ascii="Calibri" w:hAnsi="Calibri" w:cs="Calibri"/>
          <w:b/>
          <w:bCs/>
        </w:rPr>
        <w:t>ТЕХНОЛОГИЧЕСКОМ</w:t>
      </w:r>
      <w:proofErr w:type="gramEnd"/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ПРИСОЕДИНЕНИИ</w:t>
      </w:r>
      <w:proofErr w:type="gramEnd"/>
      <w:r>
        <w:rPr>
          <w:rFonts w:ascii="Calibri" w:hAnsi="Calibri" w:cs="Calibri"/>
          <w:b/>
          <w:bCs/>
        </w:rPr>
        <w:t xml:space="preserve"> К ЭЛЕКТРИЧЕСКИМ СЕТЯМ МП "ГОРЭЛЕКТРОСЕТЬ"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 "НЯНДОМСКОЕ" ЭНЕРГОПРИНИМАЮЩИХ УСТРОЙСТВ МОЩНОСТЬЮ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 150 КВТ ВКЛЮЧИТЕЛЬНО (С УЧЕТОМ РАНЕЕ ПРИСОЕДИНЕННОЙ</w:t>
      </w:r>
      <w:proofErr w:type="gramEnd"/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МОЩНОСТИ) НА УРОВНЕ НАПРЯЖЕНИЯ НИЖЕ 20 КВ</w:t>
      </w:r>
      <w:proofErr w:type="gramEnd"/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0"/>
        <w:gridCol w:w="3061"/>
      </w:tblGrid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платы, руб./кВт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118"/>
            <w:bookmarkEnd w:id="12"/>
            <w:r>
              <w:rPr>
                <w:rFonts w:ascii="Calibri" w:hAnsi="Calibri" w:cs="Calibri"/>
              </w:rPr>
              <w:t>1. Подготовка и выдача сетевой организацией технических условий заявителю (ТУ)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24"/>
            <w:bookmarkEnd w:id="13"/>
            <w:r>
              <w:rPr>
                <w:rFonts w:ascii="Calibri" w:hAnsi="Calibri" w:cs="Calibri"/>
              </w:rPr>
              <w:t>4. Проверка сетевой организацией выполнения заявителем ТУ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26"/>
            <w:bookmarkEnd w:id="14"/>
            <w:r>
              <w:rPr>
                <w:rFonts w:ascii="Calibri" w:hAnsi="Calibri" w:cs="Calibri"/>
              </w:rPr>
              <w:t xml:space="preserve">5. 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 заявителя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D0701">
        <w:trPr>
          <w:trHeight w:val="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28"/>
            <w:bookmarkEnd w:id="15"/>
            <w:r>
              <w:rPr>
                <w:rFonts w:ascii="Calibri" w:hAnsi="Calibri" w:cs="Calibri"/>
              </w:rPr>
              <w:t>6. 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701" w:rsidRDefault="00ED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</w:tbl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D070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Ставки платы, предусмотренные </w:t>
      </w:r>
      <w:hyperlink w:anchor="Par11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указанной таблицы, установлены без учета налога на добавленную стоимость.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Ставки платы, предусмотренные </w:t>
      </w:r>
      <w:hyperlink w:anchor="Par11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указанной таблицы, установлены в ценах периода регулирования для первой зоны (районы, приравненные к районам Крайнего Севера) Архангельской области. Для второй зоны Архангельской области (районы Крайнего Севера) ставки применяются с увеличением дополнительно на индекс для второй зоны Архангельской области относительно первой в размере 1,19. Принадлежность к первой или второй зоне определяется по месту выполнения производственной функции.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Ставки платы, предусмотренные </w:t>
      </w:r>
      <w:hyperlink w:anchor="Par11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указанной таблицы, также распространяются на заявителей, подавших заявку в целях временного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Ставки платы не распространяются на заявителей, подавших заявку 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при присоединении объектов, отнесенных к третьей категории надежности (по одному источнику электроснабжения) при условии, что расстояние от границ участка заявителя до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на уровне напряжения до 20 кВ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 учетом ограничений, установленных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принадлежащих сетевым организациям и иным лицам, к</w:t>
      </w:r>
      <w:proofErr w:type="gramEnd"/>
      <w:r>
        <w:rPr>
          <w:rFonts w:ascii="Calibri" w:hAnsi="Calibri" w:cs="Calibri"/>
        </w:rPr>
        <w:t xml:space="preserve"> электрическим сетям,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27.12.2004 N 861.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41"/>
      <w:bookmarkEnd w:id="16"/>
      <w:r>
        <w:rPr>
          <w:rFonts w:ascii="Calibri" w:hAnsi="Calibri" w:cs="Calibri"/>
        </w:rPr>
        <w:t>Приложение N 4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82-э/23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47"/>
      <w:bookmarkEnd w:id="17"/>
      <w:r>
        <w:rPr>
          <w:rFonts w:ascii="Calibri" w:hAnsi="Calibri" w:cs="Calibri"/>
          <w:b/>
          <w:bCs/>
        </w:rPr>
        <w:t>ФОРМУЛА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ПЛАТЫ ЗА ТЕХНОЛОГИЧЕСКОЕ ПРИСОЕДИНЕНИЕ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ЭЛЕКТРИЧЕСКИМ СЕТЯМ МП "ГОРЭЛЕКТРОСЕТЬ" МО "НЯНДОМСКОЕ"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ЭНЕРГОПРИНИМАЮЩИХ УСТРОЙСТВ МОЩНОСТЬЮ ДО 150 КВТ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ВКЛЮЧИТЕЛЬНО (С УЧЕТОМ РАНЕЕ ПРИСОЕДИНЕННОЙ МОЩНОСТИ)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УРОВНЕ НАПРЯЖЕНИЯ НИЖЕ 20 КВ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Размер платы за технологическое присоединение (</w:t>
      </w:r>
      <w:proofErr w:type="spellStart"/>
      <w:r>
        <w:rPr>
          <w:rFonts w:ascii="Calibri" w:hAnsi="Calibri" w:cs="Calibri"/>
        </w:rPr>
        <w:t>Робщ</w:t>
      </w:r>
      <w:proofErr w:type="spellEnd"/>
      <w:r>
        <w:rPr>
          <w:rFonts w:ascii="Calibri" w:hAnsi="Calibri" w:cs="Calibri"/>
        </w:rPr>
        <w:t>) для конкретного заявителя определяется по формуле: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Робщ</w:t>
      </w:r>
      <w:proofErr w:type="spellEnd"/>
      <w:r>
        <w:rPr>
          <w:rFonts w:ascii="Calibri" w:hAnsi="Calibri" w:cs="Calibri"/>
        </w:rPr>
        <w:t xml:space="preserve"> = C1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C1 - стандартизированные тарифные </w:t>
      </w:r>
      <w:hyperlink w:anchor="Par72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на покрытие расходов сетевой организации на технологическое присоединение к электрическим сетям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принадлежащих сетевым организациям и иным лицам, по организационным мероприятиям в соответствии с приложением N 2 к настоящему постановлению в зависимости от категории присоединения, </w:t>
      </w:r>
      <w:r>
        <w:rPr>
          <w:rFonts w:ascii="Calibri" w:hAnsi="Calibri" w:cs="Calibri"/>
        </w:rPr>
        <w:lastRenderedPageBreak/>
        <w:t>руб./кВт;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объем максимальной мощности, указанный в заявке на технологическое присоединение, кВт.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Формула расчета платы применяется при отсутствии необходимости реализации мероприятий, связанных со строительством "последней мили" (строительство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 не требуется).</w:t>
      </w: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701" w:rsidRDefault="00ED0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701" w:rsidRDefault="00ED07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6803" w:rsidRDefault="009D6803"/>
    <w:sectPr w:rsidR="009D680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01"/>
    <w:rsid w:val="009D6803"/>
    <w:rsid w:val="00E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A5BCDDAC79205ED16D5BDBB3FB0406D6E3357B1A2390B9B6F7436559BA891hAe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2A5BCDDAC79205ED16D5BDBB3FB0406D6E3357B7A437009B6F7436559BA891hAe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A5BCDDAC79205ED16D5BDBB3FB0406D6E3357B7A13A0A916F7436559BA891A501C2241431F03FD5F9BEhBeCF" TargetMode="External"/><Relationship Id="rId11" Type="http://schemas.openxmlformats.org/officeDocument/2006/relationships/hyperlink" Target="consultantplus://offline/ref=172A5BCDDAC79205ED16CBB0AD53EE4C6F606952B3A73454CE302F6B0292A2C6E24E9B66503CF638hDe3F" TargetMode="External"/><Relationship Id="rId5" Type="http://schemas.openxmlformats.org/officeDocument/2006/relationships/hyperlink" Target="consultantplus://offline/ref=172A5BCDDAC79205ED16CBB0AD53EE4C6F666559BBA53454CE302F6B0292A2C6E24E9B66503CF13EhDe6F" TargetMode="External"/><Relationship Id="rId10" Type="http://schemas.openxmlformats.org/officeDocument/2006/relationships/hyperlink" Target="consultantplus://offline/ref=172A5BCDDAC79205ED16CBB0AD53EE4C6F606952B3A73454CE302F6B0292A2C6E24E9B66503CF638hDe3F" TargetMode="External"/><Relationship Id="rId4" Type="http://schemas.openxmlformats.org/officeDocument/2006/relationships/hyperlink" Target="consultantplus://offline/ref=172A5BCDDAC79205ED16CBB0AD53EE4C6F606952B3A33454CE302F6B02h9e2F" TargetMode="External"/><Relationship Id="rId9" Type="http://schemas.openxmlformats.org/officeDocument/2006/relationships/hyperlink" Target="consultantplus://offline/ref=172A5BCDDAC79205ED16CBB0AD53EE4C6F606952B3A73454CE302F6B0292A2C6E24E9B66503CF638hD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2015-01-26T05:30:00Z</dcterms:created>
  <dcterms:modified xsi:type="dcterms:W3CDTF">2015-01-26T05:31:00Z</dcterms:modified>
</cp:coreProperties>
</file>