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>Паспорт</w:t>
      </w:r>
      <w:r w:rsidRPr="00A1016F">
        <w:rPr>
          <w:rFonts w:ascii="Times New Roman" w:eastAsia="Times New Roman" w:hAnsi="Times New Roman" w:cs="Times New Roman"/>
          <w:b/>
          <w:lang w:eastAsia="ru-RU"/>
        </w:rPr>
        <w:br/>
        <w:t>услуги (процесса) сетевой организации</w:t>
      </w:r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предприятия «Горэлектросеть» муниципального образования «Няндомское» </w:t>
      </w:r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BBC" w:rsidRPr="00A1016F" w:rsidRDefault="002A6BBC" w:rsidP="002A6B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Технологическое присоединение к электросетям МП «Горэлектросеть» МО «Няндомское» </w:t>
      </w:r>
      <w:proofErr w:type="spellStart"/>
      <w:r w:rsidRPr="00A1016F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 устройств </w:t>
      </w:r>
      <w:r w:rsidRPr="00A1016F">
        <w:rPr>
          <w:rFonts w:ascii="Times New Roman" w:hAnsi="Times New Roman" w:cs="Times New Roman"/>
          <w:b/>
          <w:color w:val="000000"/>
        </w:rPr>
        <w:t xml:space="preserve">физических лиц в целях технологического присоединения </w:t>
      </w:r>
      <w:proofErr w:type="spellStart"/>
      <w:r w:rsidRPr="00A1016F">
        <w:rPr>
          <w:rFonts w:ascii="Times New Roman" w:hAnsi="Times New Roman" w:cs="Times New Roman"/>
          <w:b/>
          <w:color w:val="000000"/>
        </w:rPr>
        <w:t>энергопринимающих</w:t>
      </w:r>
      <w:proofErr w:type="spellEnd"/>
      <w:r w:rsidRPr="00A1016F">
        <w:rPr>
          <w:rFonts w:ascii="Times New Roman" w:hAnsi="Times New Roman" w:cs="Times New Roman"/>
          <w:b/>
          <w:color w:val="000000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A1016F">
        <w:rPr>
          <w:rFonts w:ascii="Times New Roman" w:hAnsi="Times New Roman" w:cs="Times New Roman"/>
          <w:b/>
          <w:color w:val="000000"/>
        </w:rPr>
        <w:t>энергопринимающих</w:t>
      </w:r>
      <w:proofErr w:type="spellEnd"/>
      <w:r w:rsidRPr="00A1016F">
        <w:rPr>
          <w:rFonts w:ascii="Times New Roman" w:hAnsi="Times New Roman" w:cs="Times New Roman"/>
          <w:b/>
          <w:color w:val="000000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6BBC" w:rsidRPr="00A1016F" w:rsidRDefault="002A6BBC" w:rsidP="002A6BBC">
      <w:pPr>
        <w:pStyle w:val="Default"/>
        <w:rPr>
          <w:sz w:val="22"/>
          <w:szCs w:val="22"/>
        </w:rPr>
      </w:pPr>
      <w:proofErr w:type="gramStart"/>
      <w:r w:rsidRPr="00A1016F">
        <w:rPr>
          <w:rFonts w:eastAsia="Times New Roman"/>
          <w:b/>
          <w:sz w:val="22"/>
          <w:szCs w:val="22"/>
        </w:rPr>
        <w:t>Круг заявителей</w:t>
      </w:r>
      <w:r w:rsidRPr="00A1016F">
        <w:rPr>
          <w:rFonts w:eastAsia="Times New Roman"/>
          <w:sz w:val="22"/>
          <w:szCs w:val="22"/>
        </w:rPr>
        <w:t xml:space="preserve">: </w:t>
      </w:r>
      <w:r w:rsidRPr="00A1016F">
        <w:rPr>
          <w:bCs/>
          <w:sz w:val="22"/>
          <w:szCs w:val="22"/>
        </w:rPr>
        <w:t xml:space="preserve"> граждане, владеющие </w:t>
      </w:r>
      <w:proofErr w:type="spellStart"/>
      <w:r w:rsidRPr="00A1016F">
        <w:rPr>
          <w:bCs/>
          <w:sz w:val="22"/>
          <w:szCs w:val="22"/>
        </w:rPr>
        <w:t>энергопринимающими</w:t>
      </w:r>
      <w:proofErr w:type="spellEnd"/>
      <w:r w:rsidRPr="00A1016F">
        <w:rPr>
          <w:bCs/>
          <w:sz w:val="22"/>
          <w:szCs w:val="22"/>
        </w:rPr>
        <w:t xml:space="preserve"> устройствами с максимальной мощностью 15 кВт включительно с учетом ранее присоединенной мощности в данной точке присоединения), которые используются для бытовых потребителей по одному источнику (третьей категории надежности)</w:t>
      </w:r>
      <w:proofErr w:type="gramEnd"/>
    </w:p>
    <w:p w:rsidR="009D2CDA" w:rsidRPr="00A1016F" w:rsidRDefault="009D2CDA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BBC" w:rsidRPr="00A1016F" w:rsidRDefault="002A6BBC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>Размер платы за предоставление услуги (процесса) и основание ее взимания:</w:t>
      </w:r>
    </w:p>
    <w:p w:rsidR="009403A4" w:rsidRPr="00A1016F" w:rsidRDefault="009403A4" w:rsidP="0094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6F">
        <w:rPr>
          <w:rFonts w:ascii="Times New Roman" w:eastAsia="Times New Roman" w:hAnsi="Times New Roman" w:cs="Times New Roman"/>
          <w:lang w:eastAsia="ru-RU"/>
        </w:rPr>
        <w:t xml:space="preserve">Основание взимания </w:t>
      </w:r>
      <w:proofErr w:type="gramStart"/>
      <w:r w:rsidRPr="00A1016F"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 w:rsidRPr="00A1016F">
        <w:rPr>
          <w:rFonts w:ascii="Times New Roman" w:eastAsia="Times New Roman" w:hAnsi="Times New Roman" w:cs="Times New Roman"/>
          <w:lang w:eastAsia="ru-RU"/>
        </w:rPr>
        <w:t xml:space="preserve"> ежегодно утверждаемое и изменяемое Постановление агентства по тарифам и ценам Архангельской области </w:t>
      </w:r>
      <w:r w:rsidRPr="00A1016F">
        <w:rPr>
          <w:rFonts w:ascii="Times New Roman" w:hAnsi="Times New Roman" w:cs="Times New Roman"/>
          <w:shd w:val="clear" w:color="auto" w:fill="FFFFFF"/>
        </w:rPr>
        <w:t>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9403A4" w:rsidRPr="00A1016F" w:rsidRDefault="009403A4" w:rsidP="002A6BBC">
      <w:pPr>
        <w:pStyle w:val="ConsPlusNonformat"/>
        <w:jc w:val="both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  <w:proofErr w:type="gramStart"/>
      <w:r w:rsidRPr="00A1016F">
        <w:rPr>
          <w:rFonts w:ascii="Times New Roman" w:hAnsi="Times New Roman" w:cs="Times New Roman"/>
          <w:sz w:val="22"/>
          <w:szCs w:val="22"/>
        </w:rPr>
        <w:t>Плата составляет: при обращении заявителя с заявкой на технологическое присоединение один раз в три года</w:t>
      </w:r>
      <w:r w:rsidR="00C10D9D">
        <w:rPr>
          <w:rFonts w:ascii="Times New Roman" w:hAnsi="Times New Roman" w:cs="Times New Roman"/>
          <w:sz w:val="22"/>
          <w:szCs w:val="22"/>
        </w:rPr>
        <w:t xml:space="preserve"> (</w:t>
      </w:r>
      <w:r w:rsidRPr="00A1016F">
        <w:rPr>
          <w:rFonts w:ascii="Times New Roman" w:hAnsi="Times New Roman" w:cs="Times New Roman"/>
          <w:sz w:val="22"/>
          <w:szCs w:val="22"/>
        </w:rPr>
        <w:t xml:space="preserve">с момента подачи первой заявки до подачи последующей заявки)  </w:t>
      </w:r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не более 550 рублей при присоединении заявителя, владеющего объектами, отнесенными к третьей категории надежности (по одному источнику электроснабжения) при условии, что расстояние от границ участка заявителя до объектов </w:t>
      </w:r>
      <w:proofErr w:type="spell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электросетевого</w:t>
      </w:r>
      <w:proofErr w:type="spell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хозяйства на уровне напряжения до 20 кВ</w:t>
      </w:r>
      <w:proofErr w:type="gram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</w:t>
      </w:r>
      <w:r w:rsidR="009D2CDA"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*¹</w:t>
      </w:r>
    </w:p>
    <w:p w:rsidR="009D2CDA" w:rsidRPr="00A1016F" w:rsidRDefault="009D2CDA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Условия оказания услуги (процесса):</w:t>
      </w:r>
      <w:r w:rsidR="00F62F68" w:rsidRPr="00A1016F">
        <w:rPr>
          <w:bCs/>
          <w:sz w:val="22"/>
          <w:szCs w:val="22"/>
        </w:rPr>
        <w:t xml:space="preserve"> 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предусмотренной п. 7, 18 Правил, включающей выдачу документов о технологическом присоединении, </w:t>
      </w:r>
    </w:p>
    <w:p w:rsidR="00F62F68" w:rsidRPr="00A1016F" w:rsidRDefault="00F62F68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Результат оказания услуги (процесса</w:t>
      </w:r>
      <w:r w:rsidR="00F62F68" w:rsidRPr="00A1016F">
        <w:rPr>
          <w:rFonts w:eastAsia="Times New Roman"/>
          <w:b/>
          <w:sz w:val="22"/>
          <w:szCs w:val="22"/>
        </w:rPr>
        <w:t xml:space="preserve">): </w:t>
      </w:r>
      <w:r w:rsidR="00F62F68" w:rsidRPr="00A1016F">
        <w:rPr>
          <w:sz w:val="22"/>
          <w:szCs w:val="22"/>
        </w:rPr>
        <w:t xml:space="preserve"> Фактическое присоединение </w:t>
      </w:r>
      <w:proofErr w:type="spellStart"/>
      <w:r w:rsidR="00F62F68" w:rsidRPr="00A1016F">
        <w:rPr>
          <w:sz w:val="22"/>
          <w:szCs w:val="22"/>
        </w:rPr>
        <w:t>энергопринимающих</w:t>
      </w:r>
      <w:proofErr w:type="spellEnd"/>
      <w:r w:rsidR="00F62F68" w:rsidRPr="00A1016F">
        <w:rPr>
          <w:sz w:val="22"/>
          <w:szCs w:val="22"/>
        </w:rPr>
        <w:t xml:space="preserve"> устройств к электросетям, фактический прием (подача) напряжения и составление и выдача акта об осуществлении технологического присоединения. </w:t>
      </w:r>
    </w:p>
    <w:p w:rsidR="00F62F68" w:rsidRPr="00A1016F" w:rsidRDefault="00F62F68" w:rsidP="00F62F68">
      <w:pPr>
        <w:pStyle w:val="Default"/>
        <w:rPr>
          <w:sz w:val="22"/>
          <w:szCs w:val="22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Общий срок оказания услуги (процесса):</w:t>
      </w:r>
      <w:r w:rsidR="00F62F68" w:rsidRPr="00A1016F">
        <w:rPr>
          <w:rFonts w:eastAsia="Times New Roman"/>
          <w:sz w:val="22"/>
          <w:szCs w:val="22"/>
        </w:rPr>
        <w:t xml:space="preserve">  </w:t>
      </w:r>
      <w:r w:rsidR="00F62F68" w:rsidRPr="00A1016F"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F62F68" w:rsidRPr="00A1016F" w:rsidRDefault="00F62F68" w:rsidP="00F62F68">
      <w:pPr>
        <w:pStyle w:val="Default"/>
        <w:rPr>
          <w:sz w:val="22"/>
          <w:szCs w:val="22"/>
        </w:rPr>
      </w:pPr>
    </w:p>
    <w:p w:rsidR="002A6BBC" w:rsidRPr="00A1016F" w:rsidRDefault="002A6BBC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016F">
        <w:rPr>
          <w:rFonts w:ascii="Times New Roman" w:eastAsia="Times New Roman" w:hAnsi="Times New Roman" w:cs="Times New Roman"/>
          <w:lang w:eastAsia="ru-RU"/>
        </w:rPr>
        <w:t>Состав, последовательность и сроки оказания услуги (процесса):</w:t>
      </w:r>
    </w:p>
    <w:tbl>
      <w:tblPr>
        <w:tblW w:w="146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950"/>
        <w:gridCol w:w="4288"/>
        <w:gridCol w:w="1971"/>
        <w:gridCol w:w="1783"/>
        <w:gridCol w:w="3049"/>
      </w:tblGrid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spellStart"/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Содержание/условия этапа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нормативный правовой акт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 сайте сетевой организации заявителем проводится процедура регистрации для граждан с использованием СНИЛС путем получения идентификатора и пароля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037C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Инструкция по регистрации в личном 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заочно,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DE5972" w:rsidRDefault="00DE5972" w:rsidP="0000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</w:t>
            </w:r>
            <w:r w:rsidR="00352E99">
              <w:rPr>
                <w:rFonts w:ascii="Times New Roman" w:eastAsia="Times New Roman" w:hAnsi="Times New Roman" w:cs="Times New Roman"/>
                <w:lang w:eastAsia="ru-RU"/>
              </w:rPr>
              <w:t xml:space="preserve">, 8.3. </w:t>
            </w:r>
            <w:r w:rsidR="00ED2FC6"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t xml:space="preserve"> от 27.12.2004 г. с изменениями и требования Единых стандартов обслуживания потребителей, утв. Приказом Минэнерго от 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15.04.2014 № 186  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83623C" w:rsidP="0083623C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</w:p>
          <w:p w:rsidR="0083623C" w:rsidRPr="00712E75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</w:t>
            </w:r>
            <w:r w:rsidR="00091625">
              <w:rPr>
                <w:rFonts w:ascii="Times New Roman" w:eastAsia="Times New Roman" w:hAnsi="Times New Roman" w:cs="Times New Roman"/>
                <w:lang w:eastAsia="ru-RU"/>
              </w:rPr>
              <w:t>и осуществлять с сетевой организацией и гарантирующим поставщиком электронный документооборот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на  протяжении всей процедуры </w:t>
            </w:r>
            <w:proofErr w:type="spellStart"/>
            <w:r w:rsidR="00D83858"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этапы исполнения заявки и процедуры и получать документы об этом</w:t>
            </w:r>
            <w:r w:rsidR="000916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83623C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712E75">
              <w:rPr>
                <w:sz w:val="22"/>
                <w:szCs w:val="22"/>
              </w:rPr>
              <w:t>в</w:t>
            </w:r>
            <w:proofErr w:type="gramEnd"/>
            <w:r w:rsidRPr="00712E75">
              <w:rPr>
                <w:sz w:val="22"/>
                <w:szCs w:val="22"/>
              </w:rPr>
              <w:t xml:space="preserve"> </w:t>
            </w:r>
          </w:p>
          <w:p w:rsidR="00150491" w:rsidRDefault="00150491" w:rsidP="00150491">
            <w:pPr>
              <w:pStyle w:val="a5"/>
              <w:ind w:left="360"/>
              <w:jc w:val="both"/>
              <w:rPr>
                <w:sz w:val="22"/>
                <w:szCs w:val="22"/>
              </w:rPr>
            </w:pPr>
          </w:p>
          <w:p w:rsidR="0083623C" w:rsidRPr="00712E75" w:rsidRDefault="0083623C" w:rsidP="00150491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электронной форме с простой электронной подписью.</w:t>
            </w:r>
          </w:p>
          <w:p w:rsidR="0083623C" w:rsidRPr="00712E75" w:rsidRDefault="0083623C" w:rsidP="00D83858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091625" w:rsidRDefault="0083623C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gramStart"/>
            <w:r w:rsidRPr="00712E75">
              <w:rPr>
                <w:sz w:val="22"/>
                <w:szCs w:val="22"/>
              </w:rPr>
              <w:t>Возможность заявителю получить дату и номер подачи заявки, отслеживать</w:t>
            </w:r>
            <w:r w:rsidR="00F10C90">
              <w:rPr>
                <w:sz w:val="22"/>
                <w:szCs w:val="22"/>
              </w:rPr>
              <w:t xml:space="preserve"> в режиме реального времени </w:t>
            </w:r>
            <w:r w:rsidRPr="00712E75">
              <w:rPr>
                <w:sz w:val="22"/>
                <w:szCs w:val="22"/>
              </w:rPr>
              <w:t xml:space="preserve"> этапы ее исполнения</w:t>
            </w:r>
            <w:r w:rsidR="0057034E" w:rsidRPr="00712E75">
              <w:rPr>
                <w:sz w:val="22"/>
                <w:szCs w:val="22"/>
              </w:rPr>
              <w:t xml:space="preserve">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</w:t>
            </w:r>
            <w:r w:rsidR="00712E75" w:rsidRPr="00712E75">
              <w:rPr>
                <w:sz w:val="22"/>
                <w:szCs w:val="22"/>
              </w:rPr>
              <w:t xml:space="preserve"> и </w:t>
            </w:r>
            <w:r w:rsidR="00091625">
              <w:rPr>
                <w:sz w:val="22"/>
                <w:szCs w:val="22"/>
              </w:rPr>
              <w:t>акта о выполнении технических условий, 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="00091625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D83858" w:rsidRPr="00150491" w:rsidRDefault="00D83858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также обеспечить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</w:t>
            </w:r>
            <w:proofErr w:type="spellStart"/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t>энергопринимающих</w:t>
            </w:r>
            <w:proofErr w:type="spellEnd"/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 устройств заявителя.</w:t>
            </w:r>
          </w:p>
          <w:p w:rsidR="00150491" w:rsidRPr="004F0765" w:rsidRDefault="00150491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3"/>
                <w:szCs w:val="23"/>
                <w:shd w:val="clear" w:color="auto" w:fill="FFFFFF"/>
              </w:rPr>
              <w:lastRenderedPageBreak/>
              <w:t xml:space="preserve"> </w:t>
            </w:r>
            <w:r w:rsidRPr="004F0765">
              <w:rPr>
                <w:sz w:val="22"/>
                <w:szCs w:val="22"/>
                <w:shd w:val="clear" w:color="auto" w:fill="FFFFFF"/>
              </w:rPr>
              <w:t>Возможность выбрать ценовую категорию при заключении договора энергоснабжения или договора купли-продажи электрической энергии</w:t>
            </w:r>
          </w:p>
          <w:p w:rsidR="0083623C" w:rsidRPr="00712E75" w:rsidRDefault="00091625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Документы о технологическом присоединении и энергоснабжении  заявителем физическим лицом (гражданином) подписываются простой электронной подписью.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в электронной форме </w:t>
            </w:r>
          </w:p>
          <w:p w:rsidR="0083623C" w:rsidRPr="00712E75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DE5972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</w:t>
            </w:r>
            <w:r w:rsidR="00F10C90">
              <w:rPr>
                <w:rFonts w:ascii="Times New Roman" w:eastAsia="Times New Roman" w:hAnsi="Times New Roman" w:cs="Times New Roman"/>
                <w:lang w:eastAsia="ru-RU"/>
              </w:rPr>
              <w:t>, 8.3.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, 105 </w:t>
            </w:r>
            <w:r w:rsidR="00F10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2FC6"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27.12.2004 г. с изменениями.</w:t>
            </w:r>
          </w:p>
        </w:tc>
      </w:tr>
      <w:tr w:rsidR="00ED2FC6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ED2FC6" w:rsidRDefault="00ED2FC6" w:rsidP="00ED2FC6">
            <w:pPr>
              <w:pStyle w:val="a5"/>
              <w:numPr>
                <w:ilvl w:val="1"/>
                <w:numId w:val="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712E75" w:rsidRDefault="00ED2FC6" w:rsidP="00ED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в центрах очного обслуживания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бесплатн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D83858" w:rsidRDefault="00D83858" w:rsidP="00D83858">
            <w:pPr>
              <w:spacing w:after="0" w:line="240" w:lineRule="auto"/>
              <w:jc w:val="both"/>
            </w:pPr>
            <w:r w:rsidRPr="00D83858">
              <w:rPr>
                <w:rFonts w:ascii="PT Serif" w:hAnsi="PT Serif"/>
                <w:sz w:val="23"/>
                <w:szCs w:val="23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Default="00D83858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центрах обслуживания потребителей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712E75" w:rsidRDefault="00ED2FC6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Default="00D83858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105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27.12.2004 г. с изменениями.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2393" w:rsidRPr="00712E75">
              <w:rPr>
                <w:rFonts w:ascii="Times New Roman" w:eastAsia="Times New Roman" w:hAnsi="Times New Roman" w:cs="Times New Roman"/>
                <w:lang w:eastAsia="ru-RU"/>
              </w:rPr>
              <w:t>Подача заявки на осуществлении технологического присоединения, либо увеличение максимальной мощности с приложением комплекта документов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239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по утвержденной форме согласно п. 14 Правил технологического присоединения, утв. Постановлением Правительства РФ № 861 от 27.12.2004 г. с изменениями </w:t>
            </w:r>
          </w:p>
          <w:p w:rsidR="002A6BBC" w:rsidRPr="00712E75" w:rsidRDefault="004F7383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4F7383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, либо заказным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письмом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либо заочно через личный кабинет на сайте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п.п. 10, 14 Правил № 861 от 27.12.2004 г. с изменениями. </w:t>
            </w:r>
          </w:p>
        </w:tc>
      </w:tr>
      <w:tr w:rsidR="001D7548" w:rsidRPr="00712E75" w:rsidTr="00000ED0">
        <w:trPr>
          <w:trHeight w:val="108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сетевой организацией заявки и приложенных документов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Заявка и приложенные документы и сведения проверяют на соответствие требованиям п. 10,14 Правил № 861 от 27.12.2004 г. с изменениями.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53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 с момента подачи заявки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Приостановление рассмотрения заявки и письменное уведомление сетевой организацией заявителя о несоответствии заявки и документов требованиям п. 10,14 Правил № 861 либо о нехватке сведений и необходимости их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предоставить в течение 20 рабочих дней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несоответствии заявки и документов требованиям п. 10,14 Правил № 861 либо нехватке сведений заявитель уведомляется об этом и о необходимости предоставить недостающие сведения и документы сетевой организации в течение 20 рабочих дней с момента получения уведомления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123490">
        <w:trPr>
          <w:trHeight w:val="111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Случаи аннулирования заявки на заключение договора об осуществлении технологического присоединения и уведомление сетевой организацией заявителя и гарантирующего поставщика об аннулировании заявки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Не оплата заявителем счета в течение 5 рабочих дней с момента его размещения в личном кабинете заявителя – в течение 2 рабочих дней заявка аннулируется. </w:t>
            </w:r>
          </w:p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Не предоставление  заявителем  сетевой организации необходимых документов и сведений в течение 20 рабочих дней с момента подачи заявки</w:t>
            </w:r>
          </w:p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Не  направление заявителем сетевой организации в течение 30 рабочих дней с момента получения подписанного с ее стороны  проекта договора      - подписанного заявителем проекта договора </w:t>
            </w:r>
            <w:proofErr w:type="spellStart"/>
            <w:r w:rsidRPr="00712E75">
              <w:rPr>
                <w:sz w:val="22"/>
                <w:szCs w:val="22"/>
              </w:rPr>
              <w:t>техприсоединения</w:t>
            </w:r>
            <w:proofErr w:type="spellEnd"/>
            <w:r w:rsidRPr="00712E75">
              <w:rPr>
                <w:sz w:val="22"/>
                <w:szCs w:val="22"/>
              </w:rPr>
              <w:t xml:space="preserve"> либо мотивированного отказа </w:t>
            </w:r>
          </w:p>
          <w:p w:rsidR="00000ED0" w:rsidRPr="00712E75" w:rsidRDefault="00000ED0" w:rsidP="0037702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Заявитель и гарантирующий поставщик уведомляются сетевой организацией об аннулировании заявки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7ой рабочий день со дня подачи заявки заявителем при неоплате им счета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21ый рабочий день с момента подачи заявки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31 рабочий день с момента подачи заявки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 рабочих дня после истечения срока уплаты (предоставления)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12,15,106 Правил № 861 от 27.12.2004 г. с изменениями.</w:t>
            </w:r>
          </w:p>
        </w:tc>
      </w:tr>
      <w:tr w:rsidR="00000ED0" w:rsidRPr="00712E75" w:rsidTr="00123490">
        <w:trPr>
          <w:trHeight w:val="29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Возобновления рассмотрения заявки заявителя сетевой организацией либо ее аннулирование и письменное уведомление сетевой организацией заявителя об аннулировании заявки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Если в течение 20 рабочих дней с момента получения заявителем письменного уведомления заявитель предоставит сетевой организации недостающие документы и сведения, то рассмотрение заявки возобновляется, если в течение 20 рабочих дней с момента получения письменного уведомления заявителем документы и сведения в сетевую организацию заявителем не предоставлены, то заявка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заявитель письменно уведомляется об аннулировании заявки.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000ED0">
        <w:trPr>
          <w:trHeight w:val="5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ходе исполнения процедуры технологического присоединения последовательное н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аправление сетевой организацией заявителю в личный кабинет: </w:t>
            </w:r>
          </w:p>
          <w:p w:rsidR="00000ED0" w:rsidRPr="00ED2FC6" w:rsidRDefault="00000ED0" w:rsidP="00B551D9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D2FC6">
              <w:rPr>
                <w:sz w:val="22"/>
                <w:szCs w:val="22"/>
                <w:shd w:val="clear" w:color="auto" w:fill="FFFFFF"/>
              </w:rPr>
              <w:t>счет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 для внесения </w:t>
            </w:r>
            <w:r w:rsidRPr="00ED2FC6">
              <w:rPr>
                <w:sz w:val="22"/>
                <w:szCs w:val="22"/>
                <w:shd w:val="clear" w:color="auto" w:fill="FFFFFF"/>
              </w:rPr>
              <w:lastRenderedPageBreak/>
              <w:t>платы (части платы) за технологическое присоединение и его оплаты заявителем;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left="127" w:right="127" w:hanging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 технически</w:t>
            </w:r>
            <w:r>
              <w:rPr>
                <w:sz w:val="22"/>
                <w:szCs w:val="22"/>
              </w:rPr>
              <w:t>х</w:t>
            </w:r>
            <w:r w:rsidRPr="00712E75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й</w:t>
            </w:r>
            <w:r w:rsidRPr="00712E75">
              <w:rPr>
                <w:sz w:val="22"/>
                <w:szCs w:val="22"/>
              </w:rPr>
              <w:t>,</w:t>
            </w:r>
          </w:p>
          <w:p w:rsidR="00000ED0" w:rsidRDefault="00000ED0" w:rsidP="00B551D9">
            <w:pPr>
              <w:pStyle w:val="a5"/>
              <w:numPr>
                <w:ilvl w:val="1"/>
                <w:numId w:val="2"/>
              </w:numPr>
              <w:ind w:left="127" w:right="127" w:hanging="6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договора оказания услуг по передаче электрической энергии, подписанный со стороны сетевой </w:t>
            </w:r>
            <w:proofErr w:type="gramStart"/>
            <w:r w:rsidRPr="00712E75">
              <w:rPr>
                <w:sz w:val="22"/>
                <w:szCs w:val="22"/>
              </w:rPr>
              <w:t>организации</w:t>
            </w:r>
            <w:proofErr w:type="gramEnd"/>
            <w:r w:rsidRPr="00712E75">
              <w:rPr>
                <w:sz w:val="22"/>
                <w:szCs w:val="22"/>
              </w:rPr>
              <w:t xml:space="preserve"> если заявитель планирует заключить договор купли-</w:t>
            </w:r>
          </w:p>
          <w:p w:rsidR="00000ED0" w:rsidRDefault="00000ED0" w:rsidP="00150491">
            <w:pPr>
              <w:pStyle w:val="a5"/>
              <w:ind w:left="127"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продажи электроэнергии </w:t>
            </w:r>
            <w:proofErr w:type="gramStart"/>
            <w:r w:rsidRPr="00712E75">
              <w:rPr>
                <w:sz w:val="22"/>
                <w:szCs w:val="22"/>
              </w:rPr>
              <w:t>с</w:t>
            </w:r>
            <w:proofErr w:type="gramEnd"/>
            <w:r w:rsidRPr="00712E75">
              <w:rPr>
                <w:sz w:val="22"/>
                <w:szCs w:val="22"/>
              </w:rPr>
              <w:t xml:space="preserve"> </w:t>
            </w:r>
          </w:p>
          <w:p w:rsidR="00000ED0" w:rsidRPr="00712E75" w:rsidRDefault="00000ED0" w:rsidP="00150491">
            <w:pPr>
              <w:pStyle w:val="a5"/>
              <w:ind w:left="127"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гарантирующим поставщиком;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Подписанн</w:t>
            </w:r>
            <w:r>
              <w:rPr>
                <w:sz w:val="22"/>
                <w:szCs w:val="22"/>
              </w:rPr>
              <w:t xml:space="preserve">ого </w:t>
            </w:r>
            <w:r w:rsidRPr="00712E75">
              <w:rPr>
                <w:sz w:val="22"/>
                <w:szCs w:val="22"/>
              </w:rPr>
              <w:t>усиленной квалифицированной подписью со стороны гарантирующего поставщика договор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купли-продажи электрической энергии или договор энергоснабжения</w:t>
            </w:r>
          </w:p>
          <w:p w:rsidR="00000ED0" w:rsidRPr="00ED2FC6" w:rsidRDefault="00000ED0" w:rsidP="00150491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</w:rPr>
            </w:pPr>
            <w:r w:rsidRPr="00ED2FC6">
              <w:rPr>
                <w:sz w:val="22"/>
                <w:szCs w:val="22"/>
                <w:shd w:val="clear" w:color="auto" w:fill="FFFFFF"/>
              </w:rPr>
              <w:t>инструкци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ED2FC6">
              <w:rPr>
                <w:sz w:val="22"/>
                <w:szCs w:val="22"/>
                <w:shd w:val="clear" w:color="auto" w:fill="FFFFFF"/>
              </w:rPr>
              <w:t>, содержащ</w:t>
            </w:r>
            <w:r>
              <w:rPr>
                <w:sz w:val="22"/>
                <w:szCs w:val="22"/>
                <w:shd w:val="clear" w:color="auto" w:fill="FFFFFF"/>
              </w:rPr>
              <w:t>ей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</w:t>
            </w:r>
            <w:r w:rsidRPr="00ED2FC6">
              <w:rPr>
                <w:sz w:val="22"/>
                <w:szCs w:val="22"/>
                <w:shd w:val="clear" w:color="auto" w:fill="FFFFFF"/>
              </w:rPr>
              <w:lastRenderedPageBreak/>
              <w:t>фактического приема напряжения и мощности.</w:t>
            </w:r>
            <w:r w:rsidRPr="00ED2F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Договор об осуществлении технологического присоединения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103,105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00ED0" w:rsidRPr="00712E75" w:rsidTr="00123490">
        <w:trPr>
          <w:trHeight w:val="18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Оплата счета за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производиться заявителем с указанием реквизитов счета на оплату. </w:t>
            </w:r>
          </w:p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между сетевой организацией и заявитель считается заключенным со дня оплаты заявителем счета.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5 рабочих дней с момента получения счета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103,104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Подписание договора заявителем и возврат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экземпляра в сетевую организацию договора о технологическом присоединении и договора об оказании услуг по передаче электрической энергии, если с гарантирующим поставщиком заявитель планирует заключать договор купли-продажи электрической энергии, а с сетевой организацией договор оказания услуг по передаче электрической энергии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 технологического присоединения и проект договора оказания услуг по передаче электрической энергии подписывается </w:t>
            </w:r>
            <w:proofErr w:type="spellStart"/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заявителем-физическим</w:t>
            </w:r>
            <w:proofErr w:type="spellEnd"/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лицом простой электронной подписью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простой электронной подписью в личном кабинете заявителя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со дня получения подписанного проекта договора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15 Правил № 861 от 27.12.2004 г. с изменениями.</w:t>
            </w:r>
          </w:p>
        </w:tc>
      </w:tr>
      <w:tr w:rsidR="00000ED0" w:rsidRPr="00712E75" w:rsidTr="00123490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7.2.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заявителем сетевой организации мотивированного отказа от подписания договора об осуществлении технологического присоединения или предложения о заключении договора оказания услуг по передаче электрической энергии на иных условиях, чем в проекте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Мотивированный отказ заявителя от подписания проекта договора должен содержать причины несогласия с подписанием договора, и требование о приведении его в соответствии с требованием Правил № 861.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заказным письмом с уведомлением о вручении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со дня получения проекта договора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15 Правил № 861 от 27.12.2004 г. с изменениями.</w:t>
            </w:r>
          </w:p>
        </w:tc>
      </w:tr>
      <w:tr w:rsidR="00000ED0" w:rsidRPr="00712E75" w:rsidTr="00123490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7.3.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Приведение сетевой организацией  проекта договора в соответствии с требованиям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861, в случае получения сетевой организацией от заявителя мотивированного отказа от подписания договора об осуществлении технического присоединения или договора об оказании услуг по передаче электрической энергии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получения сетевой организацией мотивированного отказа заявителя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подписании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договоров, сетевая организация обязана привести проекты договоров в соответствии с требованиями Правил № 861 и предоставить заявителю новый проект договора технологического присоединения и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техусловия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проект договора оказания услуг по передаче электрической энергии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при посещении ПТО организации заявителем, в личном кабинет заявителя </w:t>
            </w:r>
            <w:proofErr w:type="gramEnd"/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со дня получения мотивированного отказа от подписания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15 Правил № 861 от 27.12.2004 г. с изменениями</w:t>
            </w:r>
          </w:p>
        </w:tc>
      </w:tr>
      <w:tr w:rsidR="00000ED0" w:rsidRPr="00712E75" w:rsidTr="00123490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Момент заключения заявителем и сетевой организацией договора оказания услуг по передаче электрической энергии, если заявитель планирует заключать с гарантирующим поставщиком договор купли-продажи электроэнергии, а с сетевой организацией договор оказания услуг на передачу электрической энергии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оказания услуг по передаче электрической энергии считается заключенным с момента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 в сетевую организацию, но не ранее заключения заявителем с сетевой организацией договора об осуществлении технологического присоединения и дня размещения в личном кабинете заявителя акта об осуществления технологического присоединения, а также заключения заявителем договора энергоснабжения либо договора купли-продажи электроэнергии с гарантирующим поставщиком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лично, либо заочно в электронной форме в личном кабинете заявителя с простой электронной подписью со стороны заявителя и усиленной квалифицированной электронной подписью со стороны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23, 15, 105 Правил № 861 от 27.12.2004 г. с изменениями</w:t>
            </w:r>
          </w:p>
        </w:tc>
      </w:tr>
      <w:tr w:rsidR="00000ED0" w:rsidRPr="00712E75" w:rsidTr="00123490">
        <w:trPr>
          <w:trHeight w:val="13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технологическое присоединение заявителем и о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на технологическое присоединение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рабочего дня после дня оплаты счета заявителем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000ED0">
        <w:trPr>
          <w:trHeight w:val="8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гарантирующего поставщика сетевой организацией о неоплате счета на технологическое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присоединенении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об аннулировании заявки на технологическое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присоединение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счет на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 заявителем в течение 5 рабочих дней с момента получения счета заявителем, то в течение 2 рабочих дней после истечения срока оплаты (на шестой-седьмой рабочий день) заявка на технологическое присоединение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 чем сетевой организация уведомляет гарантирующего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поставщика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 момента истечения 5 рабочих дней от подачи заявки заявителем 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D7548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и документов к ней приложенных, а также договора об осуществлении технологического присоединения, проекта договора энергоснабжения или купли-продажи электрической энергии (при наличии), а также проекта договора оказания услуг на передаче электрической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  сетевой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акта о выполнении технических условий. Акта о допуске прибора учета в эксплуатацию прибора учета и акта об осуществлении технологического присоединения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гарантирующему поставщику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Заявка, приложенные документы (п. 10 Правил № 861, п. 34 Правил № 442)  и договор об осуществлении технологического присоединения с техническими условиями, а также проекты договоров энергоснабжения или купли-продажи электрической энергии и договора об оказании услуг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передаче электрической энергии, а также акты о выполнении технических условий, о допуске прибора учета в эксплуатацию, акт об осуществлении технологического присоединения </w:t>
            </w:r>
            <w:proofErr w:type="gramEnd"/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сканы документов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 заключения договора об осуществлении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оформления соответствующих актов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E5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10,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15.1., 19.1.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 и п. 34 Постановления Правительства РФ № 442 от 04.05.2012 г. с изменениями</w:t>
            </w:r>
          </w:p>
        </w:tc>
      </w:tr>
      <w:tr w:rsidR="00000ED0" w:rsidRPr="00712E75" w:rsidTr="00123490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сторонами договора мероприятий по технологическому присоединению, предусмотренных договором, включая выполнение заявителем и сетевой организацией требований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1 выдача заявителю технических условий одновременно с договором 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2 Оплата услуги по технологическому присоединению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3 Разработка Сетевой организацией проектной документации (если требуется по ТУ)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hAnsi="Times New Roman" w:cs="Times New Roman"/>
              </w:rPr>
              <w:t xml:space="preserve">5  Выполнение Сторонами мероприятий, предусмотренных договором, в частности выполнение технических условий </w:t>
            </w:r>
            <w:r w:rsidRPr="00712E75">
              <w:rPr>
                <w:rFonts w:ascii="Times New Roman" w:hAnsi="Times New Roman" w:cs="Times New Roman"/>
              </w:rPr>
              <w:lastRenderedPageBreak/>
              <w:t xml:space="preserve">заявителем и сетевой организацией, в том числе со стороны сетевой организации </w:t>
            </w:r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включая осуществление сетевой организацией мероприятий по подключению </w:t>
            </w:r>
            <w:proofErr w:type="spellStart"/>
            <w:r w:rsidRPr="00712E75"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устройств под действие устройств сетевой, противоаварийной и режимной автоматики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 месяцев со дня заключения договора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подпункт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7 и подпункты б, в, г пункта 18, пункты 108,109 Правил № 861 от 27.04.2004 г. с изменениями</w:t>
            </w:r>
          </w:p>
        </w:tc>
      </w:tr>
      <w:tr w:rsidR="00000ED0" w:rsidRPr="00712E75" w:rsidTr="00123490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за свой счет установку и допуск в эксплуатацию прибора учета электроэнергии в случае первичного технологического присоединения ЭПУ до 15 кВт, указывается в технических условиях.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В обязательства сетевой организации в случае первичного присоединения </w:t>
            </w:r>
            <w:proofErr w:type="spellStart"/>
            <w:r w:rsidRPr="00712E75"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устройств заявителя до 15 кВт  входит установка и допуск в эксплуатацию за счет средств сетевой организации прибора учета электроэнергии, что указывается в технических условиях.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9.2.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допуска прибора учета в эксплуатацию и направление акта в личный кабинет заявителя, а также уведомление об этом заявителя и гарантирующего поставщика.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Прибор учета устанавливается на границе балансовой принадлежности электросетей, либо в месте приближенной к ней. Если установка прибора учета возможна только в границах участка или  в объекте заявителя, то заявитель обязан обеспечить безвозмездно сетевой организацией места установки прибора учета и допуск  к таким местам.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составляется сетевой организацией без участия иных субъектов розничного рынка электроэнергии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до конца рабочего дня сетевой организацией направляется в личный кабинет заявителя акт допуска прибора учета в эксплуатацию и в течение 1 рабочего дня уведомляется заявитель и гарантирующий поставщик.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9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9.3.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Момент ввода прибора учета в эксплуатацию и принятия его показаний для расчета за электроэнергию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E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Показания прибора учета электроэнергии  заявителя учитываются при расчете за электроэнергию с гарантирующим поставщиком и сетевой организацией со дня размещения сетевой организацией акта допуска в эксплуатацию в личном кабинете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 дня размещения акта допуска в эксплуатацию сетевой организацией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109 Правил № 861 от 27.04.2004 г. с изменениями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32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заявителем сетевой организации о выполнении им технических условий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 Уведомление Заявителем Сетевой организации о выполнении технических условий с приложением документов (п. 85 Правил)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лично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или заказным письмом или заочно в электронном виде 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разумный срок с момента выполнения заявителем технических условий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сетевой организацией выполнения заявителем технических условий, </w:t>
            </w:r>
            <w:r w:rsidRPr="00712E75">
              <w:rPr>
                <w:rFonts w:ascii="Times New Roman" w:hAnsi="Times New Roman" w:cs="Times New Roman"/>
              </w:rPr>
              <w:t>а также при первичном технологическом присоединении организацию коммерческого учета электроэнергии, установки и  допуска прибора учета в эксплуатацию за счет сетевой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 проверка сетевой организацией  выполнения заявителем технических условий включает осмотр </w:t>
            </w:r>
            <w:proofErr w:type="spellStart"/>
            <w:r w:rsidRPr="00712E7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12E75">
              <w:rPr>
                <w:rFonts w:ascii="Times New Roman" w:hAnsi="Times New Roman" w:cs="Times New Roman"/>
              </w:rPr>
              <w:t xml:space="preserve"> устройств (оборудования, электроустановок) требованиям проектной документации либо требованиям технических условий и допуск прибора учета.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r w:rsidRPr="00712E75">
              <w:rPr>
                <w:rFonts w:ascii="Times New Roman" w:hAnsi="Times New Roman" w:cs="Times New Roman"/>
              </w:rPr>
              <w:t xml:space="preserve"> в эксплуатацию.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сетевой организацией и заявителем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получения сетевой организацией письменного уведомления от заявителя </w:t>
            </w: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вне зависимости от факта выполнения технических условий со стороны</w:t>
            </w:r>
            <w:proofErr w:type="gramEnd"/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сетевой организации.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84, 90 Правил № 861 от 27.04.2004 г. с изменениями</w:t>
            </w:r>
          </w:p>
        </w:tc>
      </w:tr>
      <w:tr w:rsidR="00000ED0" w:rsidRPr="00712E75" w:rsidTr="00123490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сетевой организацией  и подписание сторонами в день осмотра электроустановок и допуска прибора учета в эксплуатацию акта о выполнении технических условий и акта допуска в эксплуатацию прибора учет,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04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Акт о выполнении технических условий и акт о допуске прибора в эксплуатацию и акт о выполнении технологическ</w:t>
            </w:r>
            <w:r>
              <w:rPr>
                <w:rFonts w:ascii="Times New Roman" w:hAnsi="Times New Roman" w:cs="Times New Roman"/>
              </w:rPr>
              <w:t xml:space="preserve">их условий и акт об осуществлении технологического присоединения </w:t>
            </w:r>
            <w:r w:rsidRPr="00712E75">
              <w:rPr>
                <w:rFonts w:ascii="Times New Roman" w:hAnsi="Times New Roman" w:cs="Times New Roman"/>
              </w:rPr>
              <w:t xml:space="preserve">составляются сетевой организацией по установленным формам и подписываются сторонами договора в день проведения осмотра электроустановок. Со стороны сетевой организации акты подписываются усиленной квалифицированной электронной подписью, со стороны заявителя простой электронной подписью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через  личный кабинет заявителя сетевая организация подписывает усиленной квалифицированной электронной подписью, заявитель простой электронной подписью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день осмотра электроустановок и в течение этого рабочего дня уведомить заявителя  о направлении актов в личный кабинет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88, 110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заявителю сетевой организацией одновременно с актом о выполнении технических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ранее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подписанный усиленной квалифицированной электронной подписью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либо договора энергоснабжения, либо договор купли-продажи электрической энергии, либо дополнительного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соглашения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либо подписанного гарантирующим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поставщиком протокола разногласий к соответствующему договору, ранее предоставленному заявителем по типовой форме с сайта гарантирующего поставщика по п. 33 Основных положений.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электронной форме в личном кабинете, либо письменно лично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посещении ПТО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день осмотра электроустановок (не позднее 10 дней с момента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сетевой организацией письменного уведомления заявителя о выполнении технических условий)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88, 90 Правил № 861 от 27.04.2004 г. с изменениями</w:t>
            </w:r>
          </w:p>
        </w:tc>
      </w:tr>
      <w:tr w:rsidR="00000ED0" w:rsidRPr="00712E75" w:rsidTr="00123490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сетевой организацией с перечнем замечаний по выполнению технических условий в случае невыполнения требований технических условий заявителем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сетевой организацией и предоставление замечаний для их устранения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день завершения осмотра электроустановок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00ED0" w:rsidRPr="00712E75" w:rsidTr="0012349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80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заявителем  сетевой организации о наличии замечаний к акту о выполнении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перечень замечаний к акту о выполнении технических условий сетевой организации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заочно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80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заявителем  акта о выполнении технических условий или размещения его в личном кабинете заявителя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сторонами замечаний по выполнению технических условий и повторная проверка сетевой организацией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 выдачей акта о выполнении технических условий и акта о допуске прибора учета в эксплуатацию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устраняет замечания сетевой организации по выполнению технических условий и письменно уведомляет ее об этом. Повторная проверка сетевой организации выполнения технических условий заявителем производиться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рабочих дней после получения сетевой организацией уведомления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00ED0" w:rsidRPr="00712E75" w:rsidTr="0012349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D45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D4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E5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893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При не выполнении заявителем в согласованный срок технических условий в связи с необходимостью их продления либо изменения и выдачи новых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безвозмездно продевает действие ранее выданных технических условий или их изменение или выдает новые технические условия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после обращения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27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B96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</w:t>
            </w:r>
            <w:proofErr w:type="gramStart"/>
            <w:r w:rsidRPr="00150491">
              <w:rPr>
                <w:rFonts w:ascii="Times New Roman" w:hAnsi="Times New Roman" w:cs="Times New Roman"/>
                <w:shd w:val="clear" w:color="auto" w:fill="FFFFFF"/>
              </w:rPr>
              <w:t>мощности</w:t>
            </w:r>
            <w:proofErr w:type="gramEnd"/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 если технологическое присоединение осуществляется на уровне напряжения и выше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2B7609" w:rsidRDefault="00000ED0" w:rsidP="00B9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2B7609"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сетевой организации, в которую была подана заявка, и объектов электроэнергетики (</w:t>
            </w:r>
            <w:proofErr w:type="spellStart"/>
            <w:r w:rsidRPr="002B7609"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Фактическое присоединение </w:t>
            </w:r>
            <w:proofErr w:type="spellStart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энергопринимающих</w:t>
            </w:r>
            <w:proofErr w:type="spellEnd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устрой</w:t>
            </w:r>
            <w:proofErr w:type="gramStart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ств пр</w:t>
            </w:r>
            <w:proofErr w:type="gramEnd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 технологическом присоединении на уровне 0,4 кВ и ниже для граждан с ЭПУ максимальной мощностью до 15 кВт включительно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2B7609" w:rsidRDefault="00000ED0" w:rsidP="00B965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7609">
              <w:rPr>
                <w:rFonts w:ascii="Times New Roman" w:hAnsi="Times New Roman" w:cs="Times New Roman"/>
              </w:rPr>
      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    обеспечивающих физическое соединение (контакт) объектов </w:t>
            </w:r>
            <w:proofErr w:type="spellStart"/>
            <w:r w:rsidRPr="002B760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2B7609"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электроэнергетики (</w:t>
            </w:r>
            <w:proofErr w:type="spellStart"/>
            <w:r w:rsidRPr="002B760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B7609">
              <w:rPr>
                <w:rFonts w:ascii="Times New Roman" w:hAnsi="Times New Roman" w:cs="Times New Roman"/>
              </w:rPr>
              <w:t xml:space="preserve"> устройств) заявителя. Фактический прием напряжения и мощности осуществляется </w:t>
            </w:r>
            <w:r w:rsidRPr="002B7609">
              <w:rPr>
                <w:rFonts w:ascii="Times New Roman" w:hAnsi="Times New Roman" w:cs="Times New Roman"/>
              </w:rPr>
              <w:lastRenderedPageBreak/>
              <w:t>путем включения коммутационного аппарата, расположенного после прибора учета (фиксация коммутационного аппарата в положении "включено");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8D7B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акта об осуществлении технологического присоединения, подписание его сторонами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размещение акта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Акт об осуществлении технологического присоединения составляется сетевой организацией в письменной форме по приложению № 1 к Правилам, подписывается сетевой организацией и заявителем.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8D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 по форме из приложения 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подпункт е пункта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19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</w:t>
            </w:r>
          </w:p>
        </w:tc>
      </w:tr>
      <w:tr w:rsidR="00000ED0" w:rsidRPr="00712E75" w:rsidTr="002123F7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Направление копии акта об осуществлении технологического присоединения подписанного сторонами сетевой организацией гарантирующему поставщику и заявителю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копия подписанного сторонами акта об осуществлении технологического присоединения направляется сетевой организацией гарантирующему поставщику и заявителю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позднее 2 дня с момента подписания акта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19.1.,110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сетевой организацией гарантирующего поставщика о составлении акта об осуществлении технологического присоединения и его размещении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рабочего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который был составлен акт и размещен 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111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письменное уведомление сетевой организацией гарантирующего поставщика о дате фактического приема (подачи напряжения) ЭПУ к сетям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t xml:space="preserve">письменное уведомление гарантирующего поставщика сетевой организацией о дате фактической подачи напряжения на ЭПУ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дня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19.1.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заявителем сетевой организации и наличии замечаний к акту об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осуществлении </w:t>
            </w:r>
            <w:proofErr w:type="gram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присоедиения</w:t>
            </w:r>
            <w:proofErr w:type="spell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 xml:space="preserve">Заявитель уведомляет сетевую организацию о наличии замечаний к акту об осуществлении технологического присоединения при его не соответствии </w:t>
            </w:r>
            <w:r>
              <w:rPr>
                <w:color w:val="22272F"/>
                <w:sz w:val="22"/>
                <w:szCs w:val="22"/>
              </w:rPr>
              <w:lastRenderedPageBreak/>
              <w:t xml:space="preserve">требованиям технических условий или Правил № 861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акта лично или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электронной форме в личном кабинете </w:t>
            </w:r>
          </w:p>
          <w:p w:rsidR="00000ED0" w:rsidRDefault="00000ED0" w:rsidP="003B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не позднее 6 месяцев с момента присоединения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D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FA34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Предоставление заявителю гражданину,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  <w:p w:rsidR="00000ED0" w:rsidRPr="00712E75" w:rsidRDefault="00000ED0" w:rsidP="00FA34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12E75">
              <w:rPr>
                <w:color w:val="22272F"/>
                <w:sz w:val="22"/>
                <w:szCs w:val="22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12E75">
              <w:rPr>
                <w:color w:val="22272F"/>
                <w:sz w:val="22"/>
                <w:szCs w:val="22"/>
              </w:rPr>
              <w:t xml:space="preserve">Гарантирующим поставщиком 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по почте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с момента поступления письменного запроса </w:t>
            </w:r>
          </w:p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заявителя гражданина с ЭПУ до 15 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Вт вкл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ючительно срок 30 календарных дней </w:t>
            </w:r>
          </w:p>
          <w:p w:rsidR="00000ED0" w:rsidRPr="00463073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абзац 6 пункта 8 Правил № 861 от 27.04.2004 г. с изменениями</w:t>
            </w: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105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D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Момент заключения договора энергоснабжения или купли-продажи электрической энергии между заявителем и гарантирующим поставщиком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организации, гарантирующим поставщиком осуществляется исполнение обязательств (в случае, если в заявке в соответствии с </w:t>
            </w:r>
            <w:hyperlink r:id="rId6" w:anchor="/document/77694091/entry/40911" w:history="1">
              <w:r>
                <w:rPr>
                  <w:rStyle w:val="a3"/>
                  <w:rFonts w:ascii="PT Serif" w:hAnsi="PT Serif"/>
                  <w:color w:val="551A8B"/>
                  <w:sz w:val="23"/>
                  <w:szCs w:val="23"/>
                  <w:shd w:val="clear" w:color="auto" w:fill="FFFFFF"/>
                </w:rPr>
                <w:t>подпунктом "л" пункта 9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 настоящих Правил заявитель указал гарантирующего поставщика в качестве субъекта, у которого он намеревается приобрести электрическую энергию) по договору, обеспечивающему продажу электрической энергии (мощности) на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розничном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рынке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, в отношении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энергопринимающего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устройства, технологическое присоединение которого осуществлялось.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дня с момента фактического присоединения ЭПУ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19  105 и  112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1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00ED0" w:rsidRDefault="00000ED0" w:rsidP="007A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 размещение гарантирующим поставщиком в личном кабинете заявителя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изического лица с ЭПУ максимальной мощностью до 15 кВт в личных (бытовых нуждах):</w:t>
            </w:r>
          </w:p>
          <w:p w:rsidR="00000ED0" w:rsidRPr="00712E75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- Наименование гарантирующего поставщика, </w:t>
            </w:r>
          </w:p>
          <w:p w:rsidR="00000ED0" w:rsidRPr="00712E75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- платежные реквизиты гарантирующего поставщика,</w:t>
            </w:r>
          </w:p>
          <w:p w:rsidR="00000ED0" w:rsidRPr="00712E75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- номер лицевого счета заявителя (потребителя электрической энергии)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Размещение данных сведений производиться с целью заключения заявителем (потребителем электрической энергии) договора обеспечивающего продажу электрической энергии на розничном рынке.</w:t>
            </w:r>
          </w:p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105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2895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7A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указанном случае договор энергоснабжения либо купли-продажи электрической энергии гарантирующего поставщика с потребителем  будет считаться заключенным </w:t>
            </w:r>
            <w:r w:rsidRPr="00712E75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  <w:t xml:space="preserve">с момента размещения сетевой организацией в личном кабинете заявителя </w:t>
            </w:r>
            <w:r w:rsidRPr="00712E75">
              <w:rPr>
                <w:rFonts w:ascii="Times New Roman" w:hAnsi="Times New Roman" w:cs="Times New Roman"/>
                <w:b/>
                <w:i/>
                <w:highlight w:val="yellow"/>
                <w:shd w:val="clear" w:color="auto" w:fill="FFFFFF"/>
              </w:rPr>
              <w:t>акта об осуществлении технологического присоединения, подписанного со стороны сетевой организации в личном кабинете потребителя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1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Действие  договора энергоснабжения и договора купли-продажи электрической энергии между гарантирующим поставщиком и потребителем-гражданином, за исключением ИП не ставиться в зависимость от факта составления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документа, поставленного сторонами в письменной форме.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D7548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>дня с момента фактического присоединения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ЭПУ к сетям </w:t>
            </w: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19, 72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90 и 105 Правил № 442 от 04.05.2012 г. с изменениями. </w:t>
            </w:r>
          </w:p>
        </w:tc>
      </w:tr>
      <w:tr w:rsidR="00000ED0" w:rsidRPr="00712E75" w:rsidTr="002A1462">
        <w:trPr>
          <w:trHeight w:val="50"/>
        </w:trPr>
        <w:tc>
          <w:tcPr>
            <w:tcW w:w="14623" w:type="dxa"/>
            <w:gridSpan w:val="6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1C8" w:rsidRDefault="008501C8" w:rsidP="009D2CDA">
      <w:pPr>
        <w:pStyle w:val="s1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D2CDA" w:rsidRPr="00A1016F" w:rsidRDefault="009D2CDA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A1016F">
        <w:rPr>
          <w:sz w:val="22"/>
          <w:szCs w:val="22"/>
        </w:rPr>
        <w:t>*</w:t>
      </w:r>
      <w:r w:rsidR="002A6BBC" w:rsidRPr="00A1016F">
        <w:rPr>
          <w:sz w:val="22"/>
          <w:szCs w:val="22"/>
        </w:rPr>
        <w:t> </w:t>
      </w:r>
      <w:r w:rsidRPr="00A1016F">
        <w:rPr>
          <w:sz w:val="22"/>
          <w:szCs w:val="22"/>
        </w:rPr>
        <w:t xml:space="preserve">¹ На основании п. 17 Правил технологического присоединения к электросетям, утв. Постановлением Правительства  № 861 от 27.12.2004 г. (с изменениями) и п. 9 </w:t>
      </w:r>
      <w:r w:rsidRPr="00A1016F">
        <w:rPr>
          <w:color w:val="22272F"/>
          <w:sz w:val="22"/>
          <w:szCs w:val="22"/>
        </w:rPr>
        <w:t xml:space="preserve">Приказ Федеральной антимонопольной службы от 29 августа 2017 г. N 1135/17 "Об утверждении методических указаний по определению размера платы за технологическое присоединение к электрическим сетям" </w:t>
      </w:r>
    </w:p>
    <w:p w:rsidR="009D2CDA" w:rsidRPr="00A1016F" w:rsidRDefault="009D2CDA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  <w:shd w:val="clear" w:color="auto" w:fill="FFFFFF"/>
        </w:rPr>
      </w:pPr>
      <w:proofErr w:type="gramStart"/>
      <w:r w:rsidRPr="00A1016F">
        <w:rPr>
          <w:color w:val="22272F"/>
          <w:sz w:val="22"/>
          <w:szCs w:val="22"/>
          <w:shd w:val="clear" w:color="auto" w:fill="FFFFFF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 технологическое присоединение </w:t>
      </w:r>
      <w:proofErr w:type="spellStart"/>
      <w:r w:rsidRPr="00A1016F">
        <w:rPr>
          <w:color w:val="22272F"/>
          <w:sz w:val="22"/>
          <w:szCs w:val="22"/>
          <w:shd w:val="clear" w:color="auto" w:fill="FFFFFF"/>
        </w:rPr>
        <w:t>энергопринимающих</w:t>
      </w:r>
      <w:proofErr w:type="spellEnd"/>
      <w:r w:rsidRPr="00A1016F">
        <w:rPr>
          <w:color w:val="22272F"/>
          <w:sz w:val="22"/>
          <w:szCs w:val="22"/>
          <w:shd w:val="clear" w:color="auto" w:fill="FFFFFF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 </w:t>
      </w:r>
      <w:hyperlink r:id="rId7" w:anchor="/document/71792554/entry/1009" w:history="1">
        <w:r w:rsidRPr="00A1016F">
          <w:rPr>
            <w:rStyle w:val="a3"/>
            <w:color w:val="551A8B"/>
            <w:sz w:val="22"/>
            <w:szCs w:val="22"/>
            <w:shd w:val="clear" w:color="auto" w:fill="FFFFFF"/>
          </w:rPr>
          <w:t>абзаце первом</w:t>
        </w:r>
      </w:hyperlink>
      <w:r w:rsidRPr="00A1016F">
        <w:rPr>
          <w:color w:val="22272F"/>
          <w:sz w:val="22"/>
          <w:szCs w:val="22"/>
          <w:shd w:val="clear" w:color="auto" w:fill="FFFFFF"/>
        </w:rPr>
        <w:t> настоящего пункта, с платой за технологическое присоединение в размере, не превышающем 550 рублей, не более одного раза в течение 3</w:t>
      </w:r>
      <w:proofErr w:type="gramEnd"/>
      <w:r w:rsidRPr="00A1016F">
        <w:rPr>
          <w:color w:val="22272F"/>
          <w:sz w:val="22"/>
          <w:szCs w:val="22"/>
          <w:shd w:val="clear" w:color="auto" w:fill="FFFFFF"/>
        </w:rPr>
        <w:t xml:space="preserve"> лет со дня подачи Заявителем заявки на технологическое присоединение до дня подачи следующей заявки.</w:t>
      </w:r>
    </w:p>
    <w:p w:rsidR="00AA25C3" w:rsidRPr="00A1016F" w:rsidRDefault="00AA25C3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A1016F">
        <w:rPr>
          <w:color w:val="22272F"/>
          <w:sz w:val="22"/>
          <w:szCs w:val="22"/>
          <w:shd w:val="clear" w:color="auto" w:fill="FFFFFF"/>
        </w:rPr>
        <w:t xml:space="preserve">Стоимость технологического присоединения 550 рублей не применяется в следующих случаях: </w:t>
      </w:r>
    </w:p>
    <w:p w:rsidR="009D2CDA" w:rsidRPr="00A1016F" w:rsidRDefault="00AA25C3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A1016F">
        <w:rPr>
          <w:color w:val="22272F"/>
          <w:sz w:val="22"/>
          <w:szCs w:val="22"/>
        </w:rPr>
        <w:t>-  е</w:t>
      </w:r>
      <w:r w:rsidR="009D2CDA" w:rsidRPr="00A1016F">
        <w:rPr>
          <w:color w:val="22272F"/>
          <w:sz w:val="22"/>
          <w:szCs w:val="22"/>
        </w:rPr>
        <w:t xml:space="preserve">сли увеличиваемая максимальная мощность при обращении превысит 15 кВт или </w:t>
      </w:r>
      <w:r w:rsidRPr="00A1016F">
        <w:rPr>
          <w:color w:val="22272F"/>
          <w:sz w:val="22"/>
          <w:szCs w:val="22"/>
        </w:rPr>
        <w:t xml:space="preserve">при последующих обращениях </w:t>
      </w:r>
      <w:r w:rsidR="009D2CDA" w:rsidRPr="00A1016F">
        <w:rPr>
          <w:color w:val="22272F"/>
          <w:sz w:val="22"/>
          <w:szCs w:val="22"/>
        </w:rPr>
        <w:t xml:space="preserve">с момента подачи первой </w:t>
      </w:r>
      <w:r w:rsidRPr="00A1016F">
        <w:rPr>
          <w:color w:val="22272F"/>
          <w:sz w:val="22"/>
          <w:szCs w:val="22"/>
        </w:rPr>
        <w:t>заявки в течение 3 лет, то расчет платы осуществляется по стандартизированным ставкам либо по ставкам платы за единицу максимальной мощности;</w:t>
      </w:r>
    </w:p>
    <w:p w:rsidR="00AA25C3" w:rsidRPr="00A1016F" w:rsidRDefault="00AA25C3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A1016F">
        <w:rPr>
          <w:color w:val="22272F"/>
          <w:sz w:val="22"/>
          <w:szCs w:val="22"/>
        </w:rPr>
        <w:t xml:space="preserve">- если </w:t>
      </w:r>
      <w:proofErr w:type="spellStart"/>
      <w:r w:rsidRPr="00A1016F">
        <w:rPr>
          <w:color w:val="22272F"/>
          <w:sz w:val="22"/>
          <w:szCs w:val="22"/>
        </w:rPr>
        <w:t>энергопринимающие</w:t>
      </w:r>
      <w:proofErr w:type="spellEnd"/>
      <w:r w:rsidRPr="00A1016F">
        <w:rPr>
          <w:color w:val="22272F"/>
          <w:sz w:val="22"/>
          <w:szCs w:val="22"/>
        </w:rPr>
        <w:t xml:space="preserve"> устройства принадлежат лицам, владеющим земельным участком на котором расположе</w:t>
      </w:r>
      <w:r w:rsidR="00C904DF">
        <w:rPr>
          <w:color w:val="22272F"/>
          <w:sz w:val="22"/>
          <w:szCs w:val="22"/>
        </w:rPr>
        <w:t xml:space="preserve">ны эти </w:t>
      </w:r>
      <w:proofErr w:type="spellStart"/>
      <w:r w:rsidR="00C904DF">
        <w:rPr>
          <w:color w:val="22272F"/>
          <w:sz w:val="22"/>
          <w:szCs w:val="22"/>
        </w:rPr>
        <w:t>энергопринимающие</w:t>
      </w:r>
      <w:proofErr w:type="spellEnd"/>
      <w:r w:rsidR="00C904DF">
        <w:rPr>
          <w:color w:val="22272F"/>
          <w:sz w:val="22"/>
          <w:szCs w:val="22"/>
        </w:rPr>
        <w:t xml:space="preserve"> устрой</w:t>
      </w:r>
      <w:r w:rsidRPr="00A1016F">
        <w:rPr>
          <w:color w:val="22272F"/>
          <w:sz w:val="22"/>
          <w:szCs w:val="22"/>
        </w:rPr>
        <w:t>ства по договору аренды на срок заключенный не более одного года;</w:t>
      </w:r>
    </w:p>
    <w:p w:rsidR="00AA25C3" w:rsidRPr="00A1016F" w:rsidRDefault="00AA25C3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A1016F">
        <w:rPr>
          <w:color w:val="22272F"/>
          <w:sz w:val="22"/>
          <w:szCs w:val="22"/>
        </w:rPr>
        <w:t xml:space="preserve">- при технологическом присоединении </w:t>
      </w:r>
      <w:proofErr w:type="spellStart"/>
      <w:r w:rsidRPr="00A1016F">
        <w:rPr>
          <w:color w:val="22272F"/>
          <w:sz w:val="22"/>
          <w:szCs w:val="22"/>
        </w:rPr>
        <w:t>энергопринимающих</w:t>
      </w:r>
      <w:proofErr w:type="spellEnd"/>
      <w:r w:rsidRPr="00A1016F">
        <w:rPr>
          <w:color w:val="22272F"/>
          <w:sz w:val="22"/>
          <w:szCs w:val="22"/>
        </w:rPr>
        <w:t xml:space="preserve"> устройств в жилых помещениях многоквартирных домов;</w:t>
      </w:r>
    </w:p>
    <w:p w:rsidR="00F62F68" w:rsidRPr="00A1016F" w:rsidRDefault="00F62F68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proofErr w:type="gramStart"/>
      <w:r w:rsidRPr="00A1016F">
        <w:rPr>
          <w:color w:val="22272F"/>
          <w:sz w:val="22"/>
          <w:szCs w:val="22"/>
        </w:rPr>
        <w:t xml:space="preserve">- Если заявитель обращается с заявкой на технологическое присоединение объединения граждан (кооперативы, садовые или огороднические товарищества, объединение гаражей или </w:t>
      </w:r>
      <w:proofErr w:type="spellStart"/>
      <w:r w:rsidRPr="00A1016F">
        <w:rPr>
          <w:color w:val="22272F"/>
          <w:sz w:val="22"/>
          <w:szCs w:val="22"/>
        </w:rPr>
        <w:t>хозпостроек</w:t>
      </w:r>
      <w:proofErr w:type="spellEnd"/>
      <w:r w:rsidRPr="00A1016F">
        <w:rPr>
          <w:color w:val="22272F"/>
          <w:sz w:val="22"/>
          <w:szCs w:val="22"/>
        </w:rPr>
        <w:t xml:space="preserve"> или сараев </w:t>
      </w:r>
      <w:r w:rsidRPr="00A1016F">
        <w:rPr>
          <w:color w:val="22272F"/>
          <w:sz w:val="22"/>
          <w:szCs w:val="22"/>
          <w:shd w:val="clear" w:color="auto" w:fill="FFFFFF"/>
        </w:rPr>
        <w:t xml:space="preserve">при присоединении к электрическим сетям сетевой организации на уровне напряжения до 20 кВ включительно и нахождения </w:t>
      </w:r>
      <w:proofErr w:type="spellStart"/>
      <w:r w:rsidRPr="00A1016F">
        <w:rPr>
          <w:color w:val="22272F"/>
          <w:sz w:val="22"/>
          <w:szCs w:val="22"/>
          <w:shd w:val="clear" w:color="auto" w:fill="FFFFFF"/>
        </w:rPr>
        <w:t>энергопринимающих</w:t>
      </w:r>
      <w:proofErr w:type="spellEnd"/>
      <w:r w:rsidRPr="00A1016F">
        <w:rPr>
          <w:color w:val="22272F"/>
          <w:sz w:val="22"/>
          <w:szCs w:val="22"/>
          <w:shd w:val="clear" w:color="auto" w:fill="FFFFFF"/>
        </w:rPr>
        <w:t xml:space="preserve"> устройств кооперативов на расстоянии не более 300 метров в городах и поселках городского типа и не более 500 метров в сельской местности</w:t>
      </w:r>
      <w:proofErr w:type="gramEnd"/>
      <w:r w:rsidRPr="00A1016F">
        <w:rPr>
          <w:color w:val="22272F"/>
          <w:sz w:val="22"/>
          <w:szCs w:val="22"/>
          <w:shd w:val="clear" w:color="auto" w:fill="FFFFFF"/>
        </w:rPr>
        <w:t xml:space="preserve"> до существующих объектов </w:t>
      </w:r>
      <w:proofErr w:type="spellStart"/>
      <w:r w:rsidRPr="00A1016F">
        <w:rPr>
          <w:color w:val="22272F"/>
          <w:sz w:val="22"/>
          <w:szCs w:val="22"/>
          <w:shd w:val="clear" w:color="auto" w:fill="FFFFFF"/>
        </w:rPr>
        <w:t>электросетевого</w:t>
      </w:r>
      <w:proofErr w:type="spellEnd"/>
      <w:r w:rsidRPr="00A1016F">
        <w:rPr>
          <w:color w:val="22272F"/>
          <w:sz w:val="22"/>
          <w:szCs w:val="22"/>
          <w:shd w:val="clear" w:color="auto" w:fill="FFFFFF"/>
        </w:rPr>
        <w:t xml:space="preserve"> хозяйства сетевых организаций и максимальная мощность каждому из членов объединения не более 15 кВт по третьей категории надежности, то стоимость присоединения (550 </w:t>
      </w:r>
      <w:proofErr w:type="spellStart"/>
      <w:r w:rsidRPr="00A1016F">
        <w:rPr>
          <w:color w:val="22272F"/>
          <w:sz w:val="22"/>
          <w:szCs w:val="22"/>
          <w:shd w:val="clear" w:color="auto" w:fill="FFFFFF"/>
        </w:rPr>
        <w:t>х</w:t>
      </w:r>
      <w:proofErr w:type="spellEnd"/>
      <w:r w:rsidRPr="00A1016F">
        <w:rPr>
          <w:color w:val="22272F"/>
          <w:sz w:val="22"/>
          <w:szCs w:val="22"/>
          <w:shd w:val="clear" w:color="auto" w:fill="FFFFFF"/>
        </w:rPr>
        <w:t xml:space="preserve"> кол-во членов объединения). </w:t>
      </w:r>
    </w:p>
    <w:p w:rsidR="00F62F68" w:rsidRPr="00A1016F" w:rsidRDefault="00F62F68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6-22-80</w:t>
            </w:r>
          </w:p>
          <w:p w:rsidR="002A6BBC" w:rsidRPr="00A1016F" w:rsidRDefault="002A6BBC" w:rsidP="002C6243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  <w:lang w:val="en-US"/>
              </w:rPr>
              <w:t>email</w:t>
            </w:r>
            <w:r w:rsidRPr="00A10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="002C6243" w:rsidRPr="000A62D7">
                <w:rPr>
                  <w:rStyle w:val="a3"/>
                  <w:rFonts w:ascii="Times New Roman" w:hAnsi="Times New Roman"/>
                  <w:lang w:val="en-US"/>
                </w:rPr>
                <w:t>ngorset@yandex.ru</w:t>
              </w:r>
            </w:hyperlink>
            <w:r w:rsidR="002C624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A1016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1016F">
              <w:rPr>
                <w:rFonts w:ascii="Times New Roman" w:hAnsi="Times New Roman"/>
                <w:sz w:val="22"/>
                <w:szCs w:val="22"/>
              </w:rPr>
              <w:t>. Архангельск ул. К. Либкнехта, д.  2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 xml:space="preserve">(8182)     20-73-21   ф. 21-54-45 to29@fas.gov.ru       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6BBC" w:rsidRDefault="002A6BBC" w:rsidP="002A6BBC">
      <w:pPr>
        <w:rPr>
          <w:rFonts w:ascii="Times New Roman" w:hAnsi="Times New Roman" w:cs="Times New Roman"/>
        </w:rPr>
      </w:pPr>
    </w:p>
    <w:sectPr w:rsidR="002A6BBC" w:rsidSect="007A23D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720"/>
    <w:multiLevelType w:val="multilevel"/>
    <w:tmpl w:val="99A837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C34DDE"/>
    <w:multiLevelType w:val="hybridMultilevel"/>
    <w:tmpl w:val="3C32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98B"/>
    <w:multiLevelType w:val="multilevel"/>
    <w:tmpl w:val="B20E7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678F7"/>
    <w:multiLevelType w:val="multilevel"/>
    <w:tmpl w:val="B6FEC39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abstractNum w:abstractNumId="5">
    <w:nsid w:val="72614365"/>
    <w:multiLevelType w:val="hybridMultilevel"/>
    <w:tmpl w:val="5E369284"/>
    <w:lvl w:ilvl="0" w:tplc="74B6E55A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BBC"/>
    <w:rsid w:val="00000ED0"/>
    <w:rsid w:val="0004139A"/>
    <w:rsid w:val="00091625"/>
    <w:rsid w:val="000D4DCE"/>
    <w:rsid w:val="000E0533"/>
    <w:rsid w:val="000E582C"/>
    <w:rsid w:val="00123490"/>
    <w:rsid w:val="0014371A"/>
    <w:rsid w:val="00150491"/>
    <w:rsid w:val="00157622"/>
    <w:rsid w:val="00187A77"/>
    <w:rsid w:val="001D7548"/>
    <w:rsid w:val="00205F91"/>
    <w:rsid w:val="0021215C"/>
    <w:rsid w:val="002123F7"/>
    <w:rsid w:val="00260825"/>
    <w:rsid w:val="002A1462"/>
    <w:rsid w:val="002A30A2"/>
    <w:rsid w:val="002A58B9"/>
    <w:rsid w:val="002A6BBC"/>
    <w:rsid w:val="002B7609"/>
    <w:rsid w:val="002C6243"/>
    <w:rsid w:val="003504DC"/>
    <w:rsid w:val="00352E99"/>
    <w:rsid w:val="00360813"/>
    <w:rsid w:val="00377025"/>
    <w:rsid w:val="003B037C"/>
    <w:rsid w:val="003B3A62"/>
    <w:rsid w:val="00423E33"/>
    <w:rsid w:val="00463073"/>
    <w:rsid w:val="004B49EA"/>
    <w:rsid w:val="004C047D"/>
    <w:rsid w:val="004F0765"/>
    <w:rsid w:val="004F0960"/>
    <w:rsid w:val="004F7383"/>
    <w:rsid w:val="00506E36"/>
    <w:rsid w:val="0057034E"/>
    <w:rsid w:val="00594120"/>
    <w:rsid w:val="005B0EEB"/>
    <w:rsid w:val="005C4CF7"/>
    <w:rsid w:val="005E3EDF"/>
    <w:rsid w:val="006656C5"/>
    <w:rsid w:val="006C2F0D"/>
    <w:rsid w:val="00712E75"/>
    <w:rsid w:val="007947EE"/>
    <w:rsid w:val="007A23D7"/>
    <w:rsid w:val="007D34E3"/>
    <w:rsid w:val="0083623C"/>
    <w:rsid w:val="008501C8"/>
    <w:rsid w:val="00877E8A"/>
    <w:rsid w:val="00893C60"/>
    <w:rsid w:val="008D7B98"/>
    <w:rsid w:val="0092658E"/>
    <w:rsid w:val="00936B63"/>
    <w:rsid w:val="009403A4"/>
    <w:rsid w:val="009919D3"/>
    <w:rsid w:val="009D2CDA"/>
    <w:rsid w:val="009E1BB6"/>
    <w:rsid w:val="009F2E95"/>
    <w:rsid w:val="00A1016F"/>
    <w:rsid w:val="00A340B0"/>
    <w:rsid w:val="00A802AB"/>
    <w:rsid w:val="00AA1E56"/>
    <w:rsid w:val="00AA25C3"/>
    <w:rsid w:val="00AE5489"/>
    <w:rsid w:val="00AF22C7"/>
    <w:rsid w:val="00B35126"/>
    <w:rsid w:val="00B551D9"/>
    <w:rsid w:val="00B67DDA"/>
    <w:rsid w:val="00B965D5"/>
    <w:rsid w:val="00BE66CD"/>
    <w:rsid w:val="00C10D9D"/>
    <w:rsid w:val="00C1411B"/>
    <w:rsid w:val="00C24607"/>
    <w:rsid w:val="00C247B9"/>
    <w:rsid w:val="00C6300C"/>
    <w:rsid w:val="00C83025"/>
    <w:rsid w:val="00C904DF"/>
    <w:rsid w:val="00CC396A"/>
    <w:rsid w:val="00D32931"/>
    <w:rsid w:val="00D4519C"/>
    <w:rsid w:val="00D76CC3"/>
    <w:rsid w:val="00D83858"/>
    <w:rsid w:val="00D90876"/>
    <w:rsid w:val="00DE5972"/>
    <w:rsid w:val="00E26B80"/>
    <w:rsid w:val="00E57F85"/>
    <w:rsid w:val="00E74E2A"/>
    <w:rsid w:val="00E77497"/>
    <w:rsid w:val="00E92393"/>
    <w:rsid w:val="00E96759"/>
    <w:rsid w:val="00ED2FC6"/>
    <w:rsid w:val="00F10C90"/>
    <w:rsid w:val="00F62F68"/>
    <w:rsid w:val="00F64EE2"/>
    <w:rsid w:val="00F75A6C"/>
    <w:rsid w:val="00F8551F"/>
    <w:rsid w:val="00FA340E"/>
    <w:rsid w:val="00FC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6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B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6BBC"/>
    <w:rPr>
      <w:color w:val="0000FF"/>
      <w:u w:val="single"/>
    </w:rPr>
  </w:style>
  <w:style w:type="paragraph" w:customStyle="1" w:styleId="s1">
    <w:name w:val="s_1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6B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A6B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A6B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6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6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2CDA"/>
    <w:rPr>
      <w:i/>
      <w:iCs/>
    </w:rPr>
  </w:style>
  <w:style w:type="character" w:customStyle="1" w:styleId="highlightsearch">
    <w:name w:val="highlightsearch"/>
    <w:basedOn w:val="a0"/>
    <w:rsid w:val="009D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rs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0572-807F-4F54-827C-ADE11A45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52</cp:revision>
  <cp:lastPrinted>2020-05-20T07:10:00Z</cp:lastPrinted>
  <dcterms:created xsi:type="dcterms:W3CDTF">2020-04-29T09:52:00Z</dcterms:created>
  <dcterms:modified xsi:type="dcterms:W3CDTF">2020-05-20T07:11:00Z</dcterms:modified>
</cp:coreProperties>
</file>